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032-3_4seq1.xml.htm"/>
      <w:bookmarkStart w:id="1" w:name="kstm2622032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Liang 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F4/F5, BUILDING C, SUNLAND INTL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999 ZHOUHAI ROAD, PUDONG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GDS Holdings Ltd</w:t>
              </w:r>
            </w:hyperlink>
            <w:r>
              <w:rPr/>
              <w:t xml:space="preserve"> [ </w:t>
            </w:r>
            <w:r>
              <w:rPr>
                <w:rFonts w:ascii="Times;serif" w:hAnsi="Times;serif"/>
                <w:color w:val="0000FF"/>
                <w:sz w:val="24"/>
                <w:shd w:fill="FFFFFF" w:val="clear"/>
              </w:rPr>
              <w:t>GDS</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9,698</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7"/>
        <w:gridCol w:w="904"/>
        <w:gridCol w:w="773"/>
        <w:gridCol w:w="600"/>
        <w:gridCol w:w="349"/>
        <w:gridCol w:w="932"/>
        <w:gridCol w:w="455"/>
        <w:gridCol w:w="617"/>
        <w:gridCol w:w="1164"/>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11,166</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90,824</w:t>
            </w:r>
            <w:r>
              <w:rPr>
                <w:rFonts w:ascii="Times;serif" w:hAnsi="Times;serif"/>
                <w:color w:val="008000"/>
                <w:position w:val="7"/>
                <w:sz w:val="16"/>
                <w:sz w:val="20"/>
                <w:shd w:fill="FFFFFF" w:val="clear"/>
              </w:rPr>
              <w:t>(2)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376,024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eight (8) Class A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acquisition of ADSs upon settlement of fully vested (i) Restricted Stock Unit ("RSU") awards after certification of performance conditions on August 3, 2026 and satisfaction of time conditions, and (ii) Option awards.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Executive vice president, data center operation and delivery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Yan Liang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2302" TargetMode="External"/><Relationship Id="rId5" Type="http://schemas.openxmlformats.org/officeDocument/2006/relationships/hyperlink" Target="http://www.sec.gov/cgi-bin/browse-edgar?action=getcompany&amp;CIK=00015261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3465</Characters>
  <CharactersWithSpaces>4027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