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032-2_4seq1.xml.htm"/>
      <w:bookmarkStart w:id="1" w:name="kstm2622032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Newman Daniel Antony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4"/>
        <w:gridCol w:w="903"/>
        <w:gridCol w:w="773"/>
        <w:gridCol w:w="599"/>
        <w:gridCol w:w="343"/>
        <w:gridCol w:w="918"/>
        <w:gridCol w:w="440"/>
        <w:gridCol w:w="603"/>
        <w:gridCol w:w="1306"/>
        <w:gridCol w:w="981"/>
        <w:gridCol w:w="99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51,374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1,040,758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Ofira Capital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fully vested Restricted Stock Unit ("RSU") awards after certification of performance conditions on August 3, 2026 and satisfaction of time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Ofira Capital Limited is a limited liability company established in the British Virgin Islands, of which Mr. Newman is the sole beneficial owner.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Antony Newman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874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3576</Characters>
  <CharactersWithSpaces>4154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