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001-37925</w:t>
      </w:r>
    </w:p>
    <w:p>
      <w:pPr>
        <w:spacing w:after="0" w:line="2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GDS Holdings Limited</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F4/F5, Building C, Sunland International</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999 Zhouhai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Pudong, Shanghai 200137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71" w:right="1440" w:bottom="1440" w:gutter="0" w:footer="0" w:header="0"/>
        </w:sectPr>
      </w:pPr>
    </w:p>
    <w:bookmarkStart w:id="1" w:name="page2"/>
    <w:bookmarkEnd w:id="1"/>
    <w:p>
      <w:pPr>
        <w:jc w:val="right"/>
        <w:ind w:right="4079"/>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–GDS Reports First Quarter 2026 Results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40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GDS Holdings Limited</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Wei Huang</w:t>
            </w:r>
          </w:p>
        </w:tc>
      </w:tr>
      <w:tr>
        <w:trPr>
          <w:trHeight w:val="191"/>
        </w:trPr>
        <w:tc>
          <w:tcPr>
            <w:tcW w:w="3520" w:type="dxa"/>
            <w:vAlign w:val="bottom"/>
          </w:tcPr>
          <w:p>
            <w:pPr>
              <w:spacing w:after="0"/>
              <w:rPr>
                <w:sz w:val="16"/>
                <w:szCs w:val="16"/>
                <w:color w:val="auto"/>
              </w:rPr>
            </w:pPr>
          </w:p>
        </w:tc>
        <w:tc>
          <w:tcPr>
            <w:tcW w:w="2780" w:type="dxa"/>
            <w:vAlign w:val="bottom"/>
          </w:tcPr>
          <w:p>
            <w:pPr>
              <w:ind w:left="2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Wei Huang</w:t>
            </w:r>
          </w:p>
        </w:tc>
      </w:tr>
      <w:tr>
        <w:trPr>
          <w:trHeight w:val="234"/>
        </w:trPr>
        <w:tc>
          <w:tcPr>
            <w:tcW w:w="3520" w:type="dxa"/>
            <w:vAlign w:val="bottom"/>
          </w:tcPr>
          <w:p>
            <w:pPr>
              <w:spacing w:after="0"/>
              <w:rPr>
                <w:sz w:val="20"/>
                <w:szCs w:val="20"/>
                <w:color w:val="auto"/>
              </w:rPr>
            </w:pPr>
          </w:p>
        </w:tc>
        <w:tc>
          <w:tcPr>
            <w:tcW w:w="2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35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167640</wp:posOffset>
            </wp:positionV>
            <wp:extent cx="2263140" cy="2057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631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GDS Reports</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First Quarter 2026 Results</w:t>
      </w:r>
    </w:p>
    <w:p>
      <w:pPr>
        <w:spacing w:after="0" w:line="200" w:lineRule="exact"/>
        <w:rPr>
          <w:sz w:val="20"/>
          <w:szCs w:val="20"/>
          <w:color w:val="auto"/>
        </w:rPr>
      </w:pPr>
    </w:p>
    <w:p>
      <w:pPr>
        <w:spacing w:after="0" w:line="23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GDS Holdings Limited Reports First Quarter 2026 Results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Shanghai, China, May 20, 2026 </w:t>
      </w:r>
      <w:r>
        <w:rPr>
          <w:rFonts w:ascii="Times New Roman" w:cs="Times New Roman" w:eastAsia="Times New Roman" w:hAnsi="Times New Roman"/>
          <w:sz w:val="18"/>
          <w:szCs w:val="18"/>
          <w:color w:val="auto"/>
        </w:rPr>
        <w:t>– GDS Holdings Limited (“GDS Holdings”, “GDS” or the “Company”) (NASDAQ: GDS; HKEX: 9698), a leading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developer and operator of high-performance data centers in China, today announced its unaudited financial results for the first quarter ended March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Financial Highlights</w:t>
      </w:r>
    </w:p>
    <w:p>
      <w:pPr>
        <w:spacing w:after="0" w:line="229" w:lineRule="exact"/>
        <w:rPr>
          <w:sz w:val="20"/>
          <w:szCs w:val="20"/>
          <w:color w:val="auto"/>
        </w:rPr>
      </w:pPr>
    </w:p>
    <w:p>
      <w:pPr>
        <w:ind w:left="340" w:hanging="332"/>
        <w:spacing w:after="0" w:line="281"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revenue increased by 23.6% year-over-year (“Y-o-Y”) to RMB3,367.1 million (US$488.1 million) in the first quarter of 2026 (1Q2025: RMB2,723.2 million). Net revenue excluding some one-time items was RMB2,938.0 million (US$425.9 million), an increase of 7.9% Y-o-Y.</w:t>
      </w:r>
    </w:p>
    <w:p>
      <w:pPr>
        <w:spacing w:after="0" w:line="162"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income increased by 247.1% Y-o-Y to RMB2,652.1 million (US$384.5 million) in the first quarter of 2026 (1Q2025: RMB764.1 million).</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income margin was 78.8% in the first quarter of 2026 (1Q2025: 28.1%).</w:t>
      </w:r>
    </w:p>
    <w:p>
      <w:pPr>
        <w:spacing w:after="0" w:line="224" w:lineRule="exact"/>
        <w:rPr>
          <w:rFonts w:ascii="Arial" w:cs="Arial" w:eastAsia="Arial" w:hAnsi="Arial"/>
          <w:sz w:val="18"/>
          <w:szCs w:val="18"/>
          <w:b w:val="1"/>
          <w:bCs w:val="1"/>
          <w:color w:val="auto"/>
        </w:rPr>
      </w:pPr>
    </w:p>
    <w:p>
      <w:pPr>
        <w:jc w:val="both"/>
        <w:ind w:left="340" w:hanging="332"/>
        <w:spacing w:after="0" w:line="265"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EBITDA (non-GAAP) increased by 47.2% Y-o-Y to RMB1,948.7 million (US$282.5 million) in the first quarter of 2026 (1Q2025: RMB1,323.8 million). Adjusted EBITDA (non-GAAP) excluding some one-time items was RMB1,430.3 million (US$207.3 million), an increase of 8.0% Y-o-Y. See “Non-GAAP Disclosure” and “Reconciliations of GAAP and non-GAAP results” elsewhere in this earnings release.</w:t>
      </w:r>
    </w:p>
    <w:p>
      <w:pPr>
        <w:spacing w:after="0" w:line="177" w:lineRule="exact"/>
        <w:rPr>
          <w:rFonts w:ascii="Arial" w:cs="Arial" w:eastAsia="Arial" w:hAnsi="Arial"/>
          <w:sz w:val="18"/>
          <w:szCs w:val="18"/>
          <w:b w:val="1"/>
          <w:bCs w:val="1"/>
          <w:color w:val="auto"/>
        </w:rPr>
      </w:pPr>
    </w:p>
    <w:p>
      <w:pPr>
        <w:ind w:left="340" w:hanging="332"/>
        <w:spacing w:after="0" w:line="281"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EBITDA margin (non-GAAP) was 57.9% in the first quarter of 2026 (1Q2025: 48.6%). Adjusted EBITDA margin (non-GAAP) excluding some one-time items was 48.7%.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Operating Highlights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area committed and pre-committed increased by 11.7% Y-o-Y to 725,485 sqm as of March 31, 2026 (March 31, 2025: 649,561 sqm).</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Area utilized increased by 12.7% Y-o-Y to 520,929 sqm as of March 31, 2026 (March 31, 2025: 462,423 sqm).</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Area in service increased by 10.4% Y-o-Y to 674,269 sqm as of March 31, 2026 (March 31, 2025: 610,685 sqm)</w:t>
      </w:r>
    </w:p>
    <w:p>
      <w:pPr>
        <w:spacing w:after="0" w:line="224" w:lineRule="exact"/>
        <w:rPr>
          <w:rFonts w:ascii="Arial" w:cs="Arial" w:eastAsia="Arial" w:hAnsi="Arial"/>
          <w:sz w:val="18"/>
          <w:szCs w:val="18"/>
          <w:b w:val="1"/>
          <w:b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Utilization rate (area utilized divided by area in service) was 77.3% as of March 31, 2026 (March 31, 2025: 75.7%).</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t>“We started 2026 with very strong sales,” said Mr. William Huang, Chairman and Chief Executive Officer of GDS. “During the first quarter, we recorded net new bookings of around 200MW, the highest level ever for a single quarter. With AI infrastructure demand intensifying, we believe GDS is uniquely positioned to capture the next phase of growth.”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our revenue increased by 7.9% and adjusted EBITDA grew by 8.0% year-over-year (excluding some one-time items),” added Mr. Dan Newman, Chief Financial Officer. “During the quarter, we further enhanced our financial flexibility through the sale of DayOne shares and a private placement of convertible preferred shares. These initiatives will support our core business expansion and create sustainable, long-term value for our stakeholders.”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Financial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 in the first quarter of 2026 was RMB3,367.1 million (US$488.1 million), a 23.6% increase over the same period last year of RMB2,723.2 million. Net revenue excluding some one-time items was RMB2,938.0 million (US$425.9 million), an increase of 7.9% over the same period last year. The normalized Y-o-Y increase was mainly due to continued ramp-up of our data centers.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in the first quarter of 2026 was RMB2,235.6 million (US$324.1 million), a 7.6% increase over the same period last year of RMB2,078.3 million. The Y-o-Y increase was in line with the continued ramp-up of our data centers.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was RMB1,131.5 million (US$164.0 million) in the first quarter of 2026, a 75.5% increase over the same period last year of RMB644.8 million. Gross profit excluding some one-time items was RMB702.4 million (US$101.8 million), an increase of 8.9% Y-o-Y.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was 33.6% in the first quarter of 2026, or 23.9% excluding some one-time items, compared with 23.7% in the same period last year.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Gross Profit (“Adjusted GP”) (non-GAAP) is defined as gross profit excluding depreciation and amortization, operating lease cost relating to prepaid land use rights, accretion expenses for asset retirement costs and share-based compensation expenses allocated to cost of revenue. Adjusted GP was RMB1,952.0 million (US$283.0 million) in the first quarter of 2026, a 34.1% increase over the same period last year of RMB1,455.4 million. Adjusted GP excluding some one-time items was RMB1,522.9 million (US$220.8 million), an increase of 4.6% over the same period last year. See “Non-GAAP Disclosure” and “Reconciliations of GAAP and non-GAAP results” elsewhere in this earnings release.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Adjusted GP margin (non-GAAP) was 58.0% in the first quarter of 2026, or 51.8% excluding some one-time items, compared with 53.4% in the same period last year. The normalized Y-o-Y decrease was mainly due to a higher level of utility costs as a percentage of net 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expenses, excluding share-based compensation expenses of RMB11.6 million (US$1.7 million), were RMB24.9 million (US$3.6 million) in the first quarter of 2026, a 4.8% decrease over the same period last year of RMB26.2 million (excluding share-based compensation of RMB6.6 million). The Y-o-Y decrease was mainly due to lower level of sales and marketing activities despite the record level of new bookings.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excluding share-based compensation expenses of RMB44.8 million (US$6.5 million), depreciation and amortization expenses of RMB50.1 million (US$7.3 million) and operating lease cost relating to prepaid land use rights of RMB14.1 million (US$2.0 million), were RMB68.4 million (US$9.9 million) in the first quarter of 2026, a 38.3% decrease over the same period last year of RMB111.0 million (excluding share-based compensation expenses of RMB47.6 million, depreciation and amortization expenses of RMB64.8 million and operating lease cost relating to prepaid land use rights of RMB15.6 million). The Y-o-Y decrease was mainly due to cost savings at the corporate level during the first quarter of 2026.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costs were RMB9.6 million (US$1.4 million) in the first quarter of 2026, compared with RMB7.9 million in the same period last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expenses for the first quarter of 2026 were RMB379.8 million (US$55.1 million), a 14.0% decrease over the same period last year of RMB441.5 million. The Y-o-Y decrease was mainly due to lower interest rates as well as higher interest income.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Foreign currency exchange loss for the first quarter of 2026 was RMB1.4 million (US$0.2 million), compared with foreign currency exchange gain of RMB1.0 million in the same period last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Others, net for the first quarter of 2026 was RMB97.6 million (US$14.2 million), compared with RMB9.7 million in the same period last year. The increase was mainly due to some one-time items recorded in the first quarter of 2026.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Gain on deconsolidation of subsidiaries for the first quarter of 2026 was nil, compared with RMB1,057.0 million in the same period last year. The Y-o-Y decrease was mainly due to the gain on the deconsolidation of the underlying projects for the ABS transaction during the first quarter of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expenses for the first quarter of 2026 were RMB108.7 million (US$15.8 million), compared with RMB199.7 million in the same period last year. The Y-o-Y decrease was mainly due to the income tax incurred as a result of intra-group transfer of interests in subsidiaries in preparation for the C-REIT IPO in the first quarter of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 of results of equity method investees for the first quarter of 2026 was an income of RMB2,136.5 million (US$309.7 million), mainly arising from the dilution gain on our investment in DayOne Data Centers Limited (“DayOne”) following the completion of part of DayOne’s Series C Convertible Preferred Share issue as well as the partial sale of DayOne ordinary shares during the first quarter of 2026, compared with a loss of RMB27.7 million in the same period last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in the first quarter of 2026 was RMB2,652.1 million (US$384.5 million), compared with RMB764.1 million in the same period last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income per ordinary share in the first quarter of 2026 was RMB1.67 (US$0.24), compared with RMB0.49 in the same period last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 income per ordinary share in the first quarter of 2026 was RMB1.32 (US$0.19), compared with RMB0.43 in the same period last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Basic income per American Depositary Share (“ADS”) in the first quarter of 2026 was RMB13.33 (US$1.93), compared with RMB3.91 in the same period last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income per American Depositary Share (“ADS”) in the first quarter of 2026 was RMB10.58 (US$1.53), compared with RMB3.47 in the same period last year.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(non-GAAP) is defined as net income (loss) excluding net interest expenses, income tax expenses (benefits), depreciation and amortization, operating lease cost relating to prepaid land use rights, accretion expenses for asset retirement costs, share-based compensation expenses, impairment losses of long-lived assets, share of results of equity method investees and gain on deconsolidation of subsidiaries. Adjusted EBITDA was RMB1,948.7 million (US$282.5 million) in the first quarter of 2026, a 47.2% increase over the same period last year of RMB1,323.8 million. Adjusted EBITDA excluding some one-time items was RMB1,430.3 million (US$207.3 million), an increase of 8.0% over the same period last year.</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EBITDA margin (non-GAAP) was 57.9% in the first quarter of 2026, or 48.7% excluding some one-time items, compared with 48.6% in the same period last year. The normalized Y-o-Y increase was mainly due to cost savings at the corporate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cash and cash equivalents were RMB14,822.5 million (US$2,148.8 million).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short-term debt was RMB9,368.9 million (US$1,358.2 million), comprised of short-term borrowings and the current portion of long-term borrowings of RMB3,222.8 million (US$467.2 million), current portion of convertible bonds payable of RMB4,284.9 million (US$621.2 million) and the current portion of finance lease and other financing obligations of RMB1,861.3 million (US$269.8 million). Total long-term debt was RMB36,527.7 million (US$5,295.4 million), comprised of long-term borrowings (excluding current portion) of RMB23,200.2 million (US$3,363.3 million), non-current portion of convertible bonds payable of RMB7,683.1 million (US$1,113.8 million) and the non-current portion of finance lease and other financing obligations of RMB5,644.4 million (US$818.3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During the first quarter of 2026, the Company obtained new debt financing and refinancing facilities of RMB460.0 million (US$66.7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area committed and pre-committed at the end of the first quarter of 2026 was 725,485 sqm, compared with 649,561 sqm at the end of the first quarter of 2025 and 670,106 sqm at the end of the fourth quarter of 2025, an increase of 11.7% Y-o-Y and an increase of 8.3% quarter-over-quarter (“Q-o-Q”), respectively. In the first quarter of 2026, gross additional total area committed was 59,342 sqm. Net additional total area committed was 55,379 sqm.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Center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Area in service at the end of the first quarter of 2026 was 674,269 sqm, compared with 610,685 sqm at the end of the first quarter of 2025 and 668,283 sqm at the end of the fourth quarter of 2025, an increase of 10.4% Y-o-Y and an increase of 0.9% Q-o-Q,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Area under construction at the end of the first quarter of 2026 was 118,411 sqm, compared with 132,208 sqm at the end of the first quarter of 2025 and 73,994 sqm at the end of the fourth quarter of 2025, a decrease of 10.4% Y-o-Y and an increase of 60.0% Q-o-Q,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Commitment rate for area in service was 92.8% at the end of the first quarter of 2026, compared with 90.9% at the end of the first quarter of 2025 and 93.0% at the end of the fourth quarter of 2025. Pre-commitment rate for area under construction was 84.4% at the end of the first quarter of 2026, compared with 71.6% at the end of the first quarter of 2025 and 66.1% at the end of the fourth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Move-In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Area utilized at the end of the first quarter of 2026 was 520,929 sqm, compared with 462,423 sqm at the end of the first quarter of 2025 and 504,843 sqm at the end of the fourth quarter of 2025, an increase of 12.7% Y-o-Y and an increase of 3.2% Q-o-Q, respectively. In the first quarter of 2026, gross additional area utilized was 19,405 sqm. Net additional area utilized was 16,086 sqm.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Utilization rate for area in service was 77.3% at the end of the first quarter of 2026, compared with 75.7% at the end of the first quarter of 2025 and 75.5% at the end of the fourth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Partial Sale of DayOne Ordinary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the Company completed the US$385 million partial sale of ordinary shares of DayOne, an independent Singapore-headquartered hyperscale data center platform in which the Company holds a minority equity investment. The ordinary shares were repurchased by DayOne at DayOne’s Series C convertible preferred share new issue price.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Subsequently in April 2026, following the closing of an upsizing of DayOne’s Series C new issue, the market value of our remaining equity interest in DayOne is over US$2.2 billion based on DayOne’s Series C new issue price. As of April 29, 2026, when we filed our 2025 annual report, we owned an equity interest in DayOne of approximately 19.9%.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US$300 million Convertible Preferred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the Company completed a private placement of US$300 million of Series B convertible preferred shares to Huatai Capital Investment Limited, a Chinese institutional investor, with a minimum 3.75% p.a. dividend during the first six years from the issuance date, and a conversion price of approximately US$54.43 per GDS ADS, subject to certain adjustments.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Outlook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confirms that the previously provided guidance of total revenues for the year of 2026 of RMB12,400 million – RMB12,900 million, Adjusted EBITDA of RMB5,750 million – RMB6,000 million and capex of around RMB9,000 million remain unchanged.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This forecast reflects the Company’s preliminary view on the current business situation and market conditions, which are subject to 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will hold a conference call at 8:00 a.m. U.S. Eastern Time on May 20, 2026 (8:00 p.m. Beijing Time on May 20, 2026) to discuss financial results and answer questions from investors and analysts.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should complete online registration using the link provided below at least 15 minutes before the scheduled start time. Upon registration, participants will receive the conference call access information, including dial-in numbers, a personal PIN and an e-mail with detailed instructions to join the conference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Online Registration: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https://register-conf.media-server.com/register/BIdae3e37d5e2a42a7b9679deaf921ff79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https://investors.gds-services.com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Disclosure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and board of directors use Adjusted EBITDA, Adjusted EBITDA margin, Adjusted GP and Adjusted GP margin, which are non-GAAP financial measures, to evaluate our operating performance, establish budgets and develop operational goals for managing our business. We believe that the exclusion of the income and expenses eliminated in calculating Adjusted EBITDA and Adjusted GP can provide useful and supplemental measures of our core operating performance. In particular, we believe that the use of Adjusted EBITDA as a supplemental performance measure captures the trend in our operating performance by excluding from our operating results the impact of our capital structure (primarily interest expense), asset base charges (primarily depreciation and amortization, operating lease cost relating to prepaid land use rights, accretion expenses for asset retirement costs and impairment losses of long-lived assets), other non-cash expenses (primarily share-based compensation expenses), and other income and expenses which we believe are not reflective of our operating performance (primarily gain or loss on deconsolidation of subsidiaries and share of results of equity method investees), whereas the use of adjusted gross profit as a supplemental performance measure captures the trend in gross profit performance of our data centers in service by excluding from our gross profit the impact of asset base charges (primarily depreciation and amortization, operating lease cost relating to prepaid land use rights and accretion expenses for asset retirement costs) and other non-cash expenses (primarily share-based compensation expenses) included in cost of revenue. In addition, we exclude the income (loss) from discontinued operations from our Adjusted EBITDA and Adjusted EBITDA margin to measure our financial performance from continuing operations, which will be consistent with our future financial performance disclosure.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We note that depreciation and amortization is a fixed cost which commences as soon as each data center enters service. However, it usually takes several years for new data centers to reach high levels of utilization and profitability. The Company incurs significant depreciation and amortization costs for its early stage data center assets. Accordingly, gross profit, which is a measure of profitability after taking into account depreciation and amortization, does not accurately reflect the Company’s core operating performance.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present these non-GAAP measures because we believe these non-GAAP measures are frequently used by securities analysts, investors and other interested parties as measures of the financial performance of companies in our industry.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non-GAAP financial measures are not defined under U.S. GAAP and are not presented in accordance with U.S. GAAP. These non-GAAP financial measures have limitations as analytical tools, and when assessing our operating performance, cash flows or our liquidity, investors should not consider them in isolation, or as a substitute for gross profit, net income (loss), cash flows provided by (used in) operating activities or other consolidated statements of operations and cash flow data prepared in accordance with U.S. GAAP. There are a number of limitations related to the use of these non-GAAP financial measures instead of their nearest GAAP equivalent. First, Adjusted EBITDA, Adjusted EBITDA margin, Adjusted GP, and Adjusted GP margin are not substitutes for gross profit, net income (loss), cash flows provided by (used in) operating activities or other consolidated statements of operation and cash flow data prepared in accordance with U.S. GAAP. Second, other companies may calculate these non-GAAP financial measures differently or may use other measures to evaluate their performance, all of which could reduce the usefulness of these non-GAAP financial measures as tools for comparison. Finally, these non-GAAP financial measures do not reflect the impact of income (loss) from discontinued operations, net interest expenses, incomes tax benefits (expenses), depreciation and amortization, operating lease cost relating to prepaid land use rights, accretion expenses for asset retirement costs, share-based compensation expenses, impairment losses of long-lived assets, gain on deconsolidation of subsidiaries and share of results of equity method investees, each of which have been and may continue to be incurred in our business.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We mitigate these limitations by reconciling the non-GAAP financial measure to the most comparable U.S. GAAP performance measure, all of which should be considered when evaluating our performance. We do not provide forward-looking guidance for certain financial data, such as depreciation, amortization, accretion, share-based compensation, share of results of equity method investees and net income (loss); the impact of such data and related adjustments can be significant. As a result, we are not able to provide a reconciliation of forward-looking U.S. GAAP to forward-looking non-GAAP financial measures without unreasonable effort. Such forward-looking non-GAAP financial measures include the forecast for Adjusted EBITDA in the section captioned “Business Outlook” set forth in this press release.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these non-GAAP financial measures, please see the table captioned “Reconciliations of GAAP and non-GAAP results” set forth at the end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(“USD”) at specified rates solely for the convenience of the reader. Unless otherwise stated, all translations from RMB to USD were made at the rate of RMB6.8980 to US$1.00, the noon buying rate in effect on March 31, 2026 in the H.10 statistical release of the Federal Reserve Board. The Company makes no representation that the RMB or USD amounts referred could be converted into USD or RMB, as the case may be, at any particular rate or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Regarding Preliminary Unaudited Financial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financial information set out in this earnings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GDS Holdings Limited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GDS Holdings Limited (NASDAQ: GDS; HKEX: 9698) is a leading developer and operator of high-performance data centers in China. The Company’s facilities are strategically located across the key hubs where demand for high-performance data center services is concentrated. The Company’s data centers have large net floor area, high power capacity, density and efficiency, and multiple redundancies across all critical systems. The Company is carrier and cloud-neutral, which enables its customers to access the major telecommunications networks, as well as the largest PRC and global public clouds, which are hosted in many of its facilities. The Company has a 26-year track record of service delivery, successfully fulfilling the requirements of some of the largest and most demanding customers for outsourced data center services in China. The Company’s customer base consists predominantly of hyperscale cloud service providers, large internet companies, financial institutions, telecommunications carriers, IT service providers, and large domestic private sector and multinational corporations. The Company also holds a minority equity interest in DayOne Data Centers Limited, an independent Singapore-headquartered hyperscale data center platform.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“aim,” “anticipate,” “believe,” “continue,” “estimate,” “expect,” “future,” “guidance,” “intend,” “is/are likely to,” “may,” “ongoing,” “plan,” “potential,” “target,” “will,” and similar statements. Among other things, statements that are not historical facts, including statements about GDS Holdings’ beliefs and expectations regarding the growth of its businesses and its revenue for the full fiscal year, the business outlook and quotations from management in this announcement, as well as GDS Holdings’ strategic and operational plans, are or contain forward-looking statements. GDS Holdings may also make written or oral forward-looking statements in its periodic reports to the U.S. Securities and Exchange Commission (the “SEC”) on Forms 20-F and 6-K, in its current, interim and annual reports to shareholders, in announcements, circulars or other publications made on the website of the Stock Exchange of Hong Kong Limited (the “Hong Kong Stock Exchange”), in press releases and other written materials and in oral statements made by its officers, directors or employees to third parties. Forward-looking statements involve inherent risks and uncertainties. A number of factors could cause GDS Holdings’ actual results or financial performance to differ materially from those contained in any forward-looking statement, including but not limited to the following: GDS Holdings’ goals and strategies; GDS Holdings’ future business development, financial condition and results of operations; the expected growth of the market for high-performance data centers, data center solutions and related services in China and regions in which GDS Holdings’ major equity investees operate, such as South East Asia; GDS Holdings’ expectations regarding demand for and market acceptance of its high-performance data centers, data center solutions and related services; GDS Holdings’ expectations regarding building, strengthening and maintaining its relationships with new and existing customers; the results of operations, growth prospects, financial condition, regulatory environment, competitive landscape and other uncertainties associated with the business and operations of GDS Holdings’ major equity investee DayOne; the continued adoption of cloud computing and cloud service providers in China and other major markets that may impact the results of our equity investees, such as South East Asia; risks and uncertainties associated with increased investments in GDS Holdings’ business and new data center initiatives; risks and uncertainties associated with strategic acquisitions and investments; GDS Holdings’ ability to maintain or grow its revenue or business; fluctuations in GDS Holdings’ operating results; changes in laws, regulations and regulatory environment that affect GDS Holdings’ business operations and those of its major equity investees; competition in GDS Holdings’ industry in China and in markets that affect the business operations of its major equity investees, such as South East Asia; GDS Holdings’ ability to monetize its existing data center assets through transactions such as public REITs, ABS Schemes, data center funds, joint ventures, sale and lease-back arrangements and private asset sales; security breaches; power outages; and fluctuations in general economic and business conditions in China and globally, and assumptions underlying or related to any of the foregoing. Further information regarding these and other risks, uncertainties or factors is included in GDS Holdings’ filings with the SEC, including its annual report on Form 20-F, and with the Hong Kong Stock Exchange. All information provided in this press release is as of the date of this press release and are based on assumptions that GDS Holdings believes to be reasonable as of such date, and GDS Holdings does not undertake any obligation to update any forward-looking statement, except as required under applicable law.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GDS Holdings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Chen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 (21) 2029-2203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ir@gds-services.com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Ross Warner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+86 (10) 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GDS@tpg-ir.com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GDS@tpg-ir.com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GDS Holdings Limited</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GDS HOLDINGS LIMITED</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(Amount in thousands of Renminbi ("RMB") and US dollars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272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42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ind w:left="2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14,305,958</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14,822,493</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2,148,810</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2,467,358</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2,957,449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428,740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Value-added-tax (“VAT”) recoverable</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284,967</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290,929</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42,176</w:t>
            </w:r>
          </w:p>
        </w:tc>
        <w:tc>
          <w:tcPr>
            <w:tcW w:w="0" w:type="dxa"/>
            <w:vAlign w:val="bottom"/>
          </w:tcPr>
          <w:p>
            <w:pPr>
              <w:spacing w:after="0"/>
              <w:rPr>
                <w:sz w:val="1"/>
                <w:szCs w:val="1"/>
                <w:color w:val="auto"/>
              </w:rPr>
            </w:pPr>
          </w:p>
        </w:tc>
      </w:tr>
      <w:tr>
        <w:trPr>
          <w:trHeight w:val="22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1,489,174</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5,512,007</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799,073</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18,547,457</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23,582,878</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3,418,799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investments in equity investees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10,052,348</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9,337,471</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1,353,649</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38,053,824</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37,874,775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5,490,689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land use rights, net</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16,119</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4,831,624</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4,810,838</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697,425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5,461,058</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5,422,296</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786,068</w:t>
            </w:r>
          </w:p>
        </w:tc>
        <w:tc>
          <w:tcPr>
            <w:tcW w:w="0" w:type="dxa"/>
            <w:vAlign w:val="bottom"/>
          </w:tcPr>
          <w:p>
            <w:pPr>
              <w:spacing w:after="0"/>
              <w:rPr>
                <w:sz w:val="1"/>
                <w:szCs w:val="1"/>
                <w:color w:val="auto"/>
              </w:rPr>
            </w:pPr>
          </w:p>
        </w:tc>
      </w:tr>
      <w:tr>
        <w:trPr>
          <w:trHeight w:val="22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3,036,068</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3,090,494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448,027</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61,451,041</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60,551,874</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8,778,178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0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79,998,498</w:t>
            </w:r>
          </w:p>
        </w:tc>
        <w:tc>
          <w:tcPr>
            <w:tcW w:w="2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84,134,752</w:t>
            </w:r>
          </w:p>
        </w:tc>
        <w:tc>
          <w:tcPr>
            <w:tcW w:w="2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12,196,977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300" w:type="dxa"/>
            <w:vAlign w:val="bottom"/>
            <w:shd w:val="clear" w:color="auto" w:fill="CCEEFF"/>
          </w:tcPr>
          <w:p>
            <w:pPr>
              <w:ind w:left="16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Mezzanine Equity and Equity</w:t>
            </w:r>
          </w:p>
        </w:tc>
        <w:tc>
          <w:tcPr>
            <w:tcW w:w="11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 and current portion of long-term borrowings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2,951,734</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3,222,777</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467,205</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bonds payable, current</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4,284,871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621,176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1,932,177</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1,911,943</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277,174</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1,437,173</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1,248,513</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180,996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110,133</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106,538</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15,445</w:t>
            </w:r>
          </w:p>
        </w:tc>
        <w:tc>
          <w:tcPr>
            <w:tcW w:w="0" w:type="dxa"/>
            <w:vAlign w:val="bottom"/>
          </w:tcPr>
          <w:p>
            <w:pPr>
              <w:spacing w:after="0"/>
              <w:rPr>
                <w:sz w:val="1"/>
                <w:szCs w:val="1"/>
                <w:color w:val="auto"/>
              </w:rPr>
            </w:pPr>
          </w:p>
        </w:tc>
      </w:tr>
      <w:tr>
        <w:trPr>
          <w:trHeight w:val="230"/>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and other financing obligations, current</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697,142</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1,861,268</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269,827</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7,128,359</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12,635,910</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1,831,823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borrowings, excluding current portion</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23,363,213</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23,200,181</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3,363,320</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bonds payable, non-current</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12,144,371</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7,683,099</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1,113,815</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1,203,487</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1,183,205</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171,529</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and other financing obligations, non-current</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7,053,979</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5,644,402</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818,266</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1,368,028</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1,346,196</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195,157</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00" w:type="dxa"/>
            <w:vAlign w:val="bottom"/>
            <w:tcBorders>
              <w:bottom w:val="single" w:sz="8" w:color="CCEEFF"/>
            </w:tcBorders>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45,133,078</w:t>
            </w:r>
          </w:p>
        </w:tc>
        <w:tc>
          <w:tcPr>
            <w:tcW w:w="2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39,057,083</w:t>
            </w:r>
          </w:p>
        </w:tc>
        <w:tc>
          <w:tcPr>
            <w:tcW w:w="2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5,662,087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52,261,437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51,692,993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7,493,910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1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1,056,663</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3,119,496</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452,232</w:t>
            </w:r>
          </w:p>
        </w:tc>
        <w:tc>
          <w:tcPr>
            <w:tcW w:w="0" w:type="dxa"/>
            <w:vAlign w:val="bottom"/>
          </w:tcPr>
          <w:p>
            <w:pPr>
              <w:spacing w:after="0"/>
              <w:rPr>
                <w:sz w:val="1"/>
                <w:szCs w:val="1"/>
                <w:color w:val="auto"/>
              </w:rPr>
            </w:pPr>
          </w:p>
        </w:tc>
      </w:tr>
      <w:tr>
        <w:trPr>
          <w:trHeight w:val="20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100" w:type="dxa"/>
            <w:vAlign w:val="bottom"/>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1,056,663</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3,119,496</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GDS Holdings Limited shareholders' equity</w:t>
            </w:r>
          </w:p>
        </w:tc>
        <w:tc>
          <w:tcPr>
            <w:tcW w:w="11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c>
          <w:tcPr>
            <w:tcW w:w="3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31,706,498</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31,736,579</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4,600,838</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(829,319)</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(869,439)</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(126,042)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(5,094,729)</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(2,446,027)</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(354,600)</w:t>
            </w:r>
          </w:p>
        </w:tc>
        <w:tc>
          <w:tcPr>
            <w:tcW w:w="0" w:type="dxa"/>
            <w:vAlign w:val="bottom"/>
          </w:tcPr>
          <w:p>
            <w:pPr>
              <w:spacing w:after="0"/>
              <w:rPr>
                <w:sz w:val="1"/>
                <w:szCs w:val="1"/>
                <w:color w:val="auto"/>
              </w:rPr>
            </w:pPr>
          </w:p>
        </w:tc>
      </w:tr>
      <w:tr>
        <w:trPr>
          <w:trHeight w:val="20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GDS Holdings Limited shareholders' equity</w:t>
            </w:r>
          </w:p>
        </w:tc>
        <w:tc>
          <w:tcPr>
            <w:tcW w:w="1100" w:type="dxa"/>
            <w:vAlign w:val="bottom"/>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25,783,012</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28,421,675</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4,120,277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897,386</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900,588</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130,558</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00" w:type="dxa"/>
            <w:vAlign w:val="bottom"/>
            <w:tcBorders>
              <w:bottom w:val="single" w:sz="8" w:color="CCEEFF"/>
            </w:tcBorders>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26,680,398</w:t>
            </w:r>
          </w:p>
        </w:tc>
        <w:tc>
          <w:tcPr>
            <w:tcW w:w="2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29,322,263</w:t>
            </w:r>
          </w:p>
        </w:tc>
        <w:tc>
          <w:tcPr>
            <w:tcW w:w="2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4,250,835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equity</w:t>
            </w:r>
          </w:p>
        </w:tc>
        <w:tc>
          <w:tcPr>
            <w:tcW w:w="1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79,998,498</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84,134,752</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12,196,977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10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15</w:t>
            </w:r>
          </w:p>
        </w:tc>
        <w:tc>
          <w:tcPr>
            <w:tcW w:w="1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GDS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thousands of Renminbi ("RMB") and US dollars ("US$")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March 31, 2025</w:t>
            </w:r>
          </w:p>
        </w:tc>
        <w:tc>
          <w:tcPr>
            <w:tcW w:w="1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52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36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2,722,908</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2,920,291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3,366,680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488,066</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sales</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1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14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2,723,158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2,921,702</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3,367,099</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(2,078,333)</w:t>
            </w: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(2,309,275)</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(2,235,580)</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(324,091)</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644,825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612,427</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1,131,519</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164,036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(32,764)</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(42,390)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(36,560)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(238,936)</w:t>
            </w: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(199,038)</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(177,438)</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(25,723)</w:t>
            </w:r>
          </w:p>
        </w:tc>
        <w:tc>
          <w:tcPr>
            <w:tcW w:w="0" w:type="dxa"/>
            <w:vAlign w:val="bottom"/>
          </w:tcPr>
          <w:p>
            <w:pPr>
              <w:spacing w:after="0"/>
              <w:rPr>
                <w:sz w:val="1"/>
                <w:szCs w:val="1"/>
                <w:color w:val="auto"/>
              </w:rPr>
            </w:pPr>
          </w:p>
        </w:tc>
      </w:tr>
      <w:tr>
        <w:trPr>
          <w:trHeight w:val="216"/>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(7,889)</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(7,732)</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(9,562)</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30"/>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losses of long-lived assets</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(1,561,235)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4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365,236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(1,197,968)</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907,959</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interest expenses</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(441,477)</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(412,919)</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(379,847)</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(55,066)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exchange gain (loss), net</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1,018</w:t>
            </w: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(1,396)</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Others, net</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9,685</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3,167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97,614</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14,151</w:t>
            </w:r>
          </w:p>
        </w:tc>
        <w:tc>
          <w:tcPr>
            <w:tcW w:w="0" w:type="dxa"/>
            <w:vAlign w:val="bottom"/>
          </w:tcPr>
          <w:p>
            <w:pPr>
              <w:spacing w:after="0"/>
              <w:rPr>
                <w:sz w:val="1"/>
                <w:szCs w:val="1"/>
                <w:color w:val="auto"/>
              </w:rPr>
            </w:pPr>
          </w:p>
        </w:tc>
      </w:tr>
      <w:tr>
        <w:trPr>
          <w:trHeight w:val="229"/>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on deconsolidation of subsidiaries</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1,057,045</w:t>
            </w: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(62,245)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4"/>
        </w:trPr>
        <w:tc>
          <w:tcPr>
            <w:tcW w:w="54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Income (loss) before income taxes and share of results of equity</w:t>
            </w:r>
          </w:p>
        </w:tc>
        <w:tc>
          <w:tcPr>
            <w:tcW w:w="14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method investees</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991,507</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(1,670,226)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624,330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90,510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4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(199,701)</w:t>
            </w: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(23,283)</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(108,706)</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(15,759)</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Share of results of equity method investees</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(27,732)</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1,230,749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2,136,513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309,729</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764,074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(462,760)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2,652,137</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384,480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(1,053)</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(4,293)</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(3,435)</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GDS Holdings Limited shareholders</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763,021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(467,053)</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2,648,702</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383,982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Cumulative dividend on redeemable preferred shares</w:t>
            </w:r>
          </w:p>
        </w:tc>
        <w:tc>
          <w:tcPr>
            <w:tcW w:w="14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(13,455)</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(13,566)</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(24,521)</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(3,555)</w:t>
            </w:r>
          </w:p>
        </w:tc>
        <w:tc>
          <w:tcPr>
            <w:tcW w:w="0" w:type="dxa"/>
            <w:vAlign w:val="bottom"/>
          </w:tcPr>
          <w:p>
            <w:pPr>
              <w:spacing w:after="0"/>
              <w:rPr>
                <w:sz w:val="1"/>
                <w:szCs w:val="1"/>
                <w:color w:val="auto"/>
              </w:rPr>
            </w:pPr>
          </w:p>
        </w:tc>
      </w:tr>
      <w:tr>
        <w:trPr>
          <w:trHeight w:val="20"/>
        </w:trPr>
        <w:tc>
          <w:tcPr>
            <w:tcW w:w="542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available to GDS Holdings Limited ordinary</w:t>
            </w:r>
          </w:p>
        </w:tc>
        <w:tc>
          <w:tcPr>
            <w:tcW w:w="14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420" w:type="dxa"/>
            <w:vAlign w:val="bottom"/>
            <w:vMerge w:val="continue"/>
            <w:shd w:val="clear" w:color="auto" w:fill="CCEEFF"/>
          </w:tcPr>
          <w:p>
            <w:pPr>
              <w:spacing w:after="0"/>
              <w:rPr>
                <w:sz w:val="15"/>
                <w:szCs w:val="15"/>
                <w:color w:val="auto"/>
              </w:rPr>
            </w:pPr>
          </w:p>
        </w:tc>
        <w:tc>
          <w:tcPr>
            <w:tcW w:w="140" w:type="dxa"/>
            <w:vAlign w:val="bottom"/>
            <w:vMerge w:val="restart"/>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749,566</w:t>
            </w:r>
          </w:p>
        </w:tc>
        <w:tc>
          <w:tcPr>
            <w:tcW w:w="17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(480,619)</w:t>
            </w: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2,624,181</w:t>
            </w:r>
          </w:p>
        </w:tc>
        <w:tc>
          <w:tcPr>
            <w:tcW w:w="1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380,427</w:t>
            </w:r>
          </w:p>
        </w:tc>
        <w:tc>
          <w:tcPr>
            <w:tcW w:w="0" w:type="dxa"/>
            <w:vAlign w:val="bottom"/>
          </w:tcPr>
          <w:p>
            <w:pPr>
              <w:spacing w:after="0"/>
              <w:rPr>
                <w:sz w:val="1"/>
                <w:szCs w:val="1"/>
                <w:color w:val="auto"/>
              </w:rPr>
            </w:pPr>
          </w:p>
        </w:tc>
      </w:tr>
      <w:tr>
        <w:trPr>
          <w:trHeight w:val="22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4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740" w:type="dxa"/>
            <w:vAlign w:val="bottom"/>
            <w:gridSpan w:val="3"/>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Income (loss) per ordinary share</w:t>
            </w: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0.49</w:t>
            </w: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0.43</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 outstanding</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1,484,257,047</w:t>
            </w:r>
          </w:p>
        </w:tc>
        <w:tc>
          <w:tcPr>
            <w:tcW w:w="1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1,554,302,551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1,554,302,551</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1,554,302,551</w:t>
            </w:r>
          </w:p>
        </w:tc>
        <w:tc>
          <w:tcPr>
            <w:tcW w:w="0" w:type="dxa"/>
            <w:vAlign w:val="bottom"/>
          </w:tcPr>
          <w:p>
            <w:pPr>
              <w:spacing w:after="0"/>
              <w:rPr>
                <w:sz w:val="1"/>
                <w:szCs w:val="1"/>
                <w:color w:val="auto"/>
              </w:rPr>
            </w:pPr>
          </w:p>
        </w:tc>
      </w:tr>
      <w:tr>
        <w:trPr>
          <w:trHeight w:val="234"/>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1,797,675,770</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1,554,302,551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2,031,672,616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2,031,672,616</w:t>
            </w:r>
          </w:p>
        </w:tc>
        <w:tc>
          <w:tcPr>
            <w:tcW w:w="0" w:type="dxa"/>
            <w:vAlign w:val="bottom"/>
          </w:tcPr>
          <w:p>
            <w:pPr>
              <w:spacing w:after="0"/>
              <w:rPr>
                <w:sz w:val="1"/>
                <w:szCs w:val="1"/>
                <w:color w:val="auto"/>
              </w:rPr>
            </w:pPr>
          </w:p>
        </w:tc>
      </w:tr>
      <w:tr>
        <w:trPr>
          <w:trHeight w:val="630"/>
        </w:trPr>
        <w:tc>
          <w:tcPr>
            <w:tcW w:w="5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GDS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thousands of Renminbi ("RMB") and US dollars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44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764,074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(462,760)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2,652,137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384,480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 net of nil tax</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16,434</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103,487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130,646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18,940</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(21,175)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(17,334)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(2,513)</w:t>
            </w: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income from share of results of equity</w:t>
            </w: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method investees</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(3,394)</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16,424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(153,665)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(22,277)</w:t>
            </w: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777,114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(364,024)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2,611,784</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378,630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(1,161)</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(4,180)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(464)</w:t>
            </w:r>
          </w:p>
        </w:tc>
      </w:tr>
      <w:tr>
        <w:trPr>
          <w:trHeight w:val="174"/>
        </w:trPr>
        <w:tc>
          <w:tcPr>
            <w:tcW w:w="53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Comprehensive income (loss) attributable to GDS Holdings Limited</w:t>
            </w:r>
          </w:p>
        </w:tc>
        <w:tc>
          <w:tcPr>
            <w:tcW w:w="12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775,953</w:t>
            </w: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(368,204)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2,608,582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378,166</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8"/>
        </w:trPr>
        <w:tc>
          <w:tcPr>
            <w:tcW w:w="5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GDS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thousands of Renminbi ("RMB") and US dollars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9"/>
                <w:szCs w:val="19"/>
                <w:color w:val="auto"/>
              </w:rPr>
            </w:pPr>
          </w:p>
        </w:tc>
        <w:tc>
          <w:tcPr>
            <w:tcW w:w="1440" w:type="dxa"/>
            <w:vAlign w:val="bottom"/>
            <w:tcBorders>
              <w:top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9"/>
                <w:szCs w:val="19"/>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764,074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(462,760)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2,652,137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384,480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856,519</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885,229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831,815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120,588</w:t>
            </w:r>
          </w:p>
        </w:tc>
      </w:tr>
      <w:tr>
        <w:trPr>
          <w:trHeight w:val="216"/>
        </w:trPr>
        <w:tc>
          <w:tcPr>
            <w:tcW w:w="5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debt issuance cost and debt discount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31,804</w:t>
            </w:r>
          </w:p>
        </w:tc>
        <w:tc>
          <w:tcPr>
            <w:tcW w:w="1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26,454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20,116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2,916</w:t>
            </w:r>
          </w:p>
        </w:tc>
      </w:tr>
      <w:tr>
        <w:trPr>
          <w:trHeight w:val="216"/>
        </w:trPr>
        <w:tc>
          <w:tcPr>
            <w:tcW w:w="5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61,977</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85,494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83,821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12,151</w:t>
            </w:r>
          </w:p>
        </w:tc>
      </w:tr>
      <w:tr>
        <w:trPr>
          <w:trHeight w:val="216"/>
        </w:trPr>
        <w:tc>
          <w:tcPr>
            <w:tcW w:w="5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 of results of equity method investees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27,732</w:t>
            </w: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(1,230,749)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(2,136,513)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(309,729)</w:t>
            </w:r>
          </w:p>
        </w:tc>
      </w:tr>
      <w:tr>
        <w:trPr>
          <w:trHeight w:val="216"/>
        </w:trPr>
        <w:tc>
          <w:tcPr>
            <w:tcW w:w="5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loss on deconsolidation of subsidiaries</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(1,057,045)</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62,245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Impairment losses of long-lived assets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1,561,235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8,172</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(12,801)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16,709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2,422</w:t>
            </w: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86,839</w:t>
            </w:r>
          </w:p>
        </w:tc>
        <w:tc>
          <w:tcPr>
            <w:tcW w:w="1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69,210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(1,020,394)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(147,927)</w:t>
            </w: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780,072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983,557</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447,691</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64,901</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 of property and equipment and land use rights</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(1,009,328)</w:t>
            </w: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(914,640)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(770,045)</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(111,633)</w:t>
            </w:r>
          </w:p>
        </w:tc>
      </w:tr>
      <w:tr>
        <w:trPr>
          <w:trHeight w:val="216"/>
        </w:trPr>
        <w:tc>
          <w:tcPr>
            <w:tcW w:w="5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receipts related to acquisitions and investments</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(360,085)</w:t>
            </w: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(9,828)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2,694,346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390,598</w:t>
            </w:r>
          </w:p>
        </w:tc>
      </w:tr>
      <w:tr>
        <w:trPr>
          <w:trHeight w:val="216"/>
        </w:trPr>
        <w:tc>
          <w:tcPr>
            <w:tcW w:w="5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Purchases of time deposits</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(674,910)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(4,414,802)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(640,012)</w:t>
            </w:r>
          </w:p>
        </w:tc>
      </w:tr>
      <w:tr>
        <w:trPr>
          <w:trHeight w:val="230"/>
        </w:trPr>
        <w:tc>
          <w:tcPr>
            <w:tcW w:w="5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Maturities of time deposits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657,343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95,295</w:t>
            </w: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(1,369,413)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(1,599,378)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(1,833,158)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(265,752)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275,032</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1,508,285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1,881,331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272,737</w:t>
            </w:r>
          </w:p>
        </w:tc>
      </w:tr>
      <w:tr>
        <w:trPr>
          <w:trHeight w:val="198"/>
        </w:trPr>
        <w:tc>
          <w:tcPr>
            <w:tcW w:w="5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 and</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(242)</w:t>
            </w:r>
          </w:p>
        </w:tc>
        <w:tc>
          <w:tcPr>
            <w:tcW w:w="1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(38,135)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(79,342)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(11,503)</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of cash and cash equivalents and restricted cash</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(314,551)</w:t>
            </w:r>
          </w:p>
        </w:tc>
        <w:tc>
          <w:tcPr>
            <w:tcW w:w="1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854,329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416,522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60,383</w:t>
            </w: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8,093,530</w:t>
            </w:r>
          </w:p>
        </w:tc>
        <w:tc>
          <w:tcPr>
            <w:tcW w:w="1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13,586,698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14,441,027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2,093,509</w:t>
            </w: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period</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7,778,979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14,441,027</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14,857,549</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2,153,892</w:t>
            </w:r>
          </w:p>
        </w:tc>
        <w:tc>
          <w:tcPr>
            <w:tcW w:w="10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5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GDS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thousands of Renminbi ("RMB") and US dollars ("US$")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percentage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23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3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5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 of net</w:t>
            </w:r>
          </w:p>
        </w:tc>
        <w:tc>
          <w:tcPr>
            <w:tcW w:w="2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 of net</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 of net</w:t>
            </w:r>
          </w:p>
        </w:tc>
        <w:tc>
          <w:tcPr>
            <w:tcW w:w="100" w:type="dxa"/>
            <w:vAlign w:val="bottom"/>
          </w:tcPr>
          <w:p>
            <w:pPr>
              <w:spacing w:after="0"/>
              <w:rPr>
                <w:sz w:val="16"/>
                <w:szCs w:val="16"/>
                <w:color w:val="auto"/>
              </w:rPr>
            </w:pPr>
          </w:p>
        </w:tc>
      </w:tr>
      <w:tr>
        <w:trPr>
          <w:trHeight w:val="238"/>
        </w:trPr>
        <w:tc>
          <w:tcPr>
            <w:tcW w:w="35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RMB</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RMB</w:t>
            </w:r>
          </w:p>
        </w:tc>
        <w:tc>
          <w:tcPr>
            <w:tcW w:w="18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revenue</w:t>
            </w: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644,825</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612,427</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1,131,519</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164,036</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790,737</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827,079</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781,191</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113,249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r>
      <w:tr>
        <w:trPr>
          <w:trHeight w:val="198"/>
        </w:trPr>
        <w:tc>
          <w:tcPr>
            <w:tcW w:w="3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cost relating to prepaid land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rights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12,016</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12,921</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expenses for asset retirement costs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1,828</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1,855</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6,016</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25,045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24,552</w:t>
            </w: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GP</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1,455,422</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1,477,891</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1,952,038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282,986</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GDS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thousands of Renminbi ("RMB") and US dollars ("US$")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for percentage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500" w:type="dxa"/>
            <w:vAlign w:val="bottom"/>
          </w:tcPr>
          <w:p>
            <w:pPr>
              <w:spacing w:after="0"/>
              <w:rPr>
                <w:sz w:val="19"/>
                <w:szCs w:val="19"/>
                <w:color w:val="auto"/>
              </w:rPr>
            </w:pPr>
          </w:p>
        </w:tc>
        <w:tc>
          <w:tcPr>
            <w:tcW w:w="23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230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5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 of net</w:t>
            </w:r>
          </w:p>
        </w:tc>
        <w:tc>
          <w:tcPr>
            <w:tcW w:w="2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 of net</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 of net</w:t>
            </w:r>
          </w:p>
        </w:tc>
        <w:tc>
          <w:tcPr>
            <w:tcW w:w="100" w:type="dxa"/>
            <w:vAlign w:val="bottom"/>
          </w:tcPr>
          <w:p>
            <w:pPr>
              <w:spacing w:after="0"/>
              <w:rPr>
                <w:sz w:val="16"/>
                <w:szCs w:val="16"/>
                <w:color w:val="auto"/>
              </w:rPr>
            </w:pPr>
          </w:p>
        </w:tc>
      </w:tr>
      <w:tr>
        <w:trPr>
          <w:trHeight w:val="238"/>
        </w:trPr>
        <w:tc>
          <w:tcPr>
            <w:tcW w:w="35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RMB</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bottom w:val="single" w:sz="8" w:color="CCEEFF"/>
            </w:tcBorders>
          </w:tcPr>
          <w:p>
            <w:pPr>
              <w:spacing w:after="0"/>
              <w:rPr>
                <w:sz w:val="20"/>
                <w:szCs w:val="20"/>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764,074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(462,760)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2,652,137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384,480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expenses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441,477</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412,919</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379,847</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55,066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199,701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23,283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108,706</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15,759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Share of results of equity method investees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27,732</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(1,230,749)</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(2,136,513)</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(309,729)</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deconsolidation of subsidiaries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(1,057,045)</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62,245</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856,519</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885,229</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831,815</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120,588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r>
      <w:tr>
        <w:trPr>
          <w:trHeight w:val="198"/>
        </w:trPr>
        <w:tc>
          <w:tcPr>
            <w:tcW w:w="3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lease cost relating to prepaid land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rights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27,584</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26,951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27,018</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expenses for asset retirement costs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1,828</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1,855</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61,977</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85,494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83,821</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12,151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losses of long-lived assets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1,561,235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1,323,847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1,365,623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1,948,686</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282,501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3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2026-05-20T07:45:31Z</dcterms:created>
  <dcterms:modified xsi:type="dcterms:W3CDTF">2026-05-20T07:45:31Z</dcterms:modified>
</cp:coreProperties>
</file>