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44884d1_s8.htm"/>
      <w:bookmarkStart w:id="1" w:name="kstm244884d1_s8"/>
      <w:bookmarkEnd w:id="0"/>
      <w:bookmarkEnd w:id="1"/>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February 20, 2024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GDS Holdings Limited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tbl>
      <w:tblPr>
        <w:tblW w:w="4345" w:type="dxa"/>
        <w:jc w:val="left"/>
        <w:tblInd w:w="0" w:type="dxa"/>
        <w:shd w:fill="FFFFFF" w:val="clear"/>
        <w:tblLayout w:type="fixed"/>
        <w:tblCellMar>
          <w:top w:w="0" w:type="dxa"/>
          <w:left w:w="0" w:type="dxa"/>
          <w:bottom w:w="0" w:type="dxa"/>
          <w:right w:w="0" w:type="dxa"/>
        </w:tblCellMar>
      </w:tblPr>
      <w:tblGrid>
        <w:gridCol w:w="2720"/>
        <w:gridCol w:w="60"/>
        <w:gridCol w:w="1565"/>
      </w:tblGrid>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center"/>
              <w:rPr>
                <w:b/>
                <w:sz w:val="20"/>
              </w:rPr>
            </w:pPr>
            <w:r>
              <w:rPr>
                <w:b/>
                <w:sz w:val="20"/>
              </w:rPr>
              <w:t>Cayman Islands</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b/>
                <w:sz w:val="20"/>
              </w:rPr>
            </w:pPr>
            <w:r>
              <w:rPr>
                <w:b/>
                <w:sz w:val="20"/>
              </w:rPr>
              <w:t>Not Applicable</w:t>
            </w:r>
          </w:p>
        </w:tc>
      </w:tr>
      <w:tr>
        <w:trPr/>
        <w:tc>
          <w:tcPr>
            <w:tcW w:w="2720"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F4/F5, Building C, Sunland International,</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999 Zhouhai Road,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Shanghai 200137</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+86-21- 2029-2200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2016 Equity Incentive Plan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+1-212-947-7200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3545"/>
        <w:gridCol w:w="2870"/>
      </w:tblGrid>
      <w:tr>
        <w:trPr/>
        <w:tc>
          <w:tcPr>
            <w:tcW w:w="3545" w:type="dxa"/>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Newman</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F4/F5, Building C, Sunland International,</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999 Zhouhai Road,</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Shanghai 200137</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+86-21- 2029-2200</w:t>
            </w:r>
          </w:p>
        </w:tc>
        <w:tc>
          <w:tcPr>
            <w:tcW w:w="2870" w:type="dxa"/>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Fertig, Esq.</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Simpson Thacher &amp; Bartlett LLP</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35th Floor, ICBC Tower</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Garden Road </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+852-2514-7600</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tbl>
      <w:tblPr>
        <w:tblW w:w="8495" w:type="dxa"/>
        <w:jc w:val="left"/>
        <w:tblInd w:w="0" w:type="dxa"/>
        <w:shd w:fill="FFFFFF" w:val="clear"/>
        <w:tblLayout w:type="fixed"/>
        <w:tblCellMar>
          <w:top w:w="0" w:type="dxa"/>
          <w:left w:w="0" w:type="dxa"/>
          <w:bottom w:w="0" w:type="dxa"/>
          <w:right w:w="0" w:type="dxa"/>
        </w:tblCellMar>
      </w:tblPr>
      <w:tblGrid>
        <w:gridCol w:w="1835"/>
        <w:gridCol w:w="60"/>
        <w:gridCol w:w="4040"/>
        <w:gridCol w:w="60"/>
        <w:gridCol w:w="2225"/>
        <w:gridCol w:w="60"/>
        <w:gridCol w:w="215"/>
      </w:tblGrid>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sz w:val="20"/>
              </w:rPr>
            </w:pPr>
            <w:r>
              <w:rPr>
                <w:sz w:val="20"/>
              </w:rPr>
              <w:t>Large accelerated filer</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rFonts w:ascii="Wingdings" w:hAnsi="Wingdings"/>
                <w:sz w:val="20"/>
              </w:rPr>
            </w:pPr>
            <w:r>
              <w:rPr>
                <w:rFonts w:ascii="Wingdings" w:hAnsi="Wingdings"/>
                <w:sz w:val="20"/>
              </w:rPr>
              <w:t>x</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sz w:val="20"/>
              </w:rPr>
            </w:pPr>
            <w:r>
              <w:rPr>
                <w:sz w:val="20"/>
              </w:rPr>
              <w:t>Accelerated filer</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Wingdings" w:hAnsi="Wingdings"/>
                <w:sz w:val="20"/>
              </w:rPr>
            </w:pPr>
            <w:r>
              <w:rPr>
                <w:rFonts w:ascii="Wingdings" w:hAnsi="Wingdings"/>
                <w:sz w:val="20"/>
              </w:rPr>
              <w:t>o</w:t>
            </w:r>
          </w:p>
        </w:tc>
      </w:tr>
      <w:tr>
        <w:trPr/>
        <w:tc>
          <w:tcPr>
            <w:tcW w:w="1835" w:type="dxa"/>
            <w:tcBorders/>
            <w:shd w:fill="FFFFFF" w:val="clear"/>
            <w:vAlign w:val="center"/>
          </w:tcPr>
          <w:p>
            <w:pPr>
              <w:pStyle w:val="TableContents"/>
              <w:bidi w:val="0"/>
              <w:spacing w:before="0" w:after="283"/>
              <w:jc w:val="left"/>
              <w:rPr/>
            </w:pPr>
            <w:r>
              <w:rPr/>
              <w:t> </w:t>
            </w:r>
          </w:p>
        </w:tc>
        <w:tc>
          <w:tcPr>
            <w:tcW w:w="4100" w:type="dxa"/>
            <w:gridSpan w:val="2"/>
            <w:tcBorders/>
            <w:shd w:fill="FFFFFF" w:val="clear"/>
            <w:vAlign w:val="center"/>
          </w:tcPr>
          <w:p>
            <w:pPr>
              <w:pStyle w:val="TableContents"/>
              <w:bidi w:val="0"/>
              <w:spacing w:before="0" w:after="283"/>
              <w:jc w:val="left"/>
              <w:rPr/>
            </w:pPr>
            <w:r>
              <w:rPr/>
              <w:t> </w:t>
            </w:r>
          </w:p>
        </w:tc>
        <w:tc>
          <w:tcPr>
            <w:tcW w:w="2285" w:type="dxa"/>
            <w:gridSpan w:val="2"/>
            <w:tcBorders/>
            <w:shd w:fill="FFFFFF" w:val="clear"/>
            <w:vAlign w:val="center"/>
          </w:tcPr>
          <w:p>
            <w:pPr>
              <w:pStyle w:val="TableContents"/>
              <w:bidi w:val="0"/>
              <w:spacing w:before="0" w:after="283"/>
              <w:jc w:val="left"/>
              <w:rPr/>
            </w:pPr>
            <w:r>
              <w:rPr/>
              <w:t> </w:t>
            </w:r>
          </w:p>
        </w:tc>
        <w:tc>
          <w:tcPr>
            <w:tcW w:w="275" w:type="dxa"/>
            <w:gridSpan w:val="2"/>
            <w:tcBorders/>
            <w:shd w:fill="FFFF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sz w:val="20"/>
              </w:rPr>
            </w:pPr>
            <w:r>
              <w:rPr>
                <w:sz w:val="20"/>
              </w:rPr>
              <w:t>Non-accelerated filer</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rFonts w:ascii="Wingdings" w:hAnsi="Wingdings"/>
                <w:sz w:val="20"/>
              </w:rPr>
              <w:t>o</w:t>
            </w:r>
            <w:r>
              <w:rPr/>
              <w:t>  </w:t>
            </w:r>
            <w:r>
              <w:rPr>
                <w:sz w:val="20"/>
              </w:rPr>
              <w:t>(Do not check if a smaller reporting company)</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sz w:val="20"/>
              </w:rPr>
            </w:pPr>
            <w:r>
              <w:rPr>
                <w:sz w:val="20"/>
              </w:rPr>
              <w:t>Smaller reporting company</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Wingdings" w:hAnsi="Wingdings"/>
                <w:sz w:val="20"/>
              </w:rPr>
            </w:pPr>
            <w:r>
              <w:rPr>
                <w:rFonts w:ascii="Wingdings" w:hAnsi="Wingdings"/>
                <w:sz w:val="20"/>
              </w:rPr>
              <w:t>o</w:t>
            </w:r>
          </w:p>
        </w:tc>
      </w:tr>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sz w:val="20"/>
              </w:rPr>
            </w:pPr>
            <w:r>
              <w:rPr>
                <w:sz w:val="20"/>
              </w:rPr>
              <w:t>Emerging growth company</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Wingdings" w:hAnsi="Wingdings"/>
                <w:sz w:val="20"/>
              </w:rPr>
            </w:pPr>
            <w:r>
              <w:rPr>
                <w:rFonts w:ascii="Wingdings" w:hAnsi="Wingdings"/>
                <w:sz w:val="20"/>
              </w:rPr>
              <w:t>o</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hAnsi="Wingdings"/>
          <w:b w:val="false"/>
          <w:i w:val="false"/>
          <w:caps w:val="false"/>
          <w:smallCaps w:val="false"/>
          <w:sz w:val="20"/>
        </w:rPr>
        <w:t>o</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(“Registration Statement”) is being filed pursuant to the General Instruction E to Form S-8 for the purpose of registering an aggregate of 30,747,912 additional Class A ordinary shares, par value US$0.00005 per share (the “Class A Ordinary Shares”) of GDS Holdings Limited (the “Registrant”), which are reserved for issuance under the Registrant’s 2016 Equity Incentive Plan (the “2016 Plan”). These 30,747,912 additional Class A Ordinary Shares have been authorized under the 2016 Plan as amended and effective on August 6, 2020, the date of the approval by the shareholders at the annual general meeting, pursuant to the 2016 Plan’s evergreen provisions. These 30,747,912 additional Class A Ordinary Shares are of the same class as other securities for which registration statements on Form S-8 were filed with the Securities and Exchange Commission (the “Commission”) on November 25, 2016 (File No. 333-214800), August 12, 2020 (File No. 333-244736) and February 10, 2022 (File No. 333-262615) (the “Existing S-8 Registration Statements”), but were not registered under the Existing S-8 Registration Statements.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118,552,448 Class A Ordinary Shares in the capital of the Registrant were previously registered for issuance under the 2016 Plan pursuant to the Existing S-8 Registration Statements. Pursuant to the General Instruction E to Form S-8, the contents of the Existing S-8 Registration Statements are incorporated by reference into this Registration Statement, except as otherwise set forth herein.</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2016 Plan, as amended, the total number of ordinary shares which may be issuable pursuant to awards under the 2016 Plan initially totaled 56,707,560 ordinary shares, provided, however, that the maximum number of unallocated ordinary shares which may be issuable pursuant to awards under the 2016 Plan shall be automatically increased on the first day of each fiscal year (i.e., January 1 of each calendar year) during which the Plan remains in effect to three percent (3%) of the then total issued and outstanding ordinary shares of the Registrant, if and whenever the unallocated ordinary shares which may be issuable pursuant to awards under the 2016 Plan account for less than one and half percent (1.5%) of the then total issued and outstanding Ordinary Shares of the Registrant.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by reference herein:</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pPr>
      <w:r>
        <w:rPr>
          <w:rFonts w:ascii="Times New Roman;Times;Serif" w:hAnsi="Times New Roman;Times;Serif"/>
          <w:b w:val="false"/>
          <w:i w:val="false"/>
          <w:caps w:val="false"/>
          <w:smallCaps w:val="false"/>
          <w:sz w:val="20"/>
        </w:rPr>
        <w:t xml:space="preserve">a.   The Registrant’s registration statements on Form S-8 filed with the Commission on November 25, 2016 (File No. </w:t>
      </w:r>
      <w:hyperlink r:id="rId2">
        <w:r>
          <w:rPr>
            <w:rStyle w:val="InternetLink"/>
            <w:rFonts w:ascii="Times New Roman;Times;Serif" w:hAnsi="Times New Roman;Times;Serif"/>
            <w:b w:val="false"/>
            <w:i w:val="false"/>
            <w:caps w:val="false"/>
            <w:smallCaps w:val="false"/>
            <w:sz w:val="20"/>
          </w:rPr>
          <w:t>333-214800</w:t>
        </w:r>
      </w:hyperlink>
      <w:r>
        <w:rPr>
          <w:rFonts w:ascii="Times New Roman;Times;Serif" w:hAnsi="Times New Roman;Times;Serif"/>
          <w:b w:val="false"/>
          <w:i w:val="false"/>
          <w:caps w:val="false"/>
          <w:smallCaps w:val="false"/>
          <w:sz w:val="20"/>
        </w:rPr>
        <w:t xml:space="preserve">), August 12, 2020 (File No. </w:t>
      </w:r>
      <w:hyperlink r:id="rId3">
        <w:r>
          <w:rPr>
            <w:rStyle w:val="InternetLink"/>
            <w:rFonts w:ascii="Times New Roman;Times;Serif" w:hAnsi="Times New Roman;Times;Serif"/>
            <w:b w:val="false"/>
            <w:i w:val="false"/>
            <w:caps w:val="false"/>
            <w:smallCaps w:val="false"/>
            <w:sz w:val="20"/>
          </w:rPr>
          <w:t>333-244736</w:t>
        </w:r>
      </w:hyperlink>
      <w:r>
        <w:rPr>
          <w:rFonts w:ascii="Times New Roman;Times;Serif" w:hAnsi="Times New Roman;Times;Serif"/>
          <w:b w:val="false"/>
          <w:i w:val="false"/>
          <w:caps w:val="false"/>
          <w:smallCaps w:val="false"/>
          <w:sz w:val="20"/>
        </w:rPr>
        <w:t xml:space="preserve">) and February 10, 2022 (File No. </w:t>
      </w:r>
      <w:hyperlink r:id="rId4">
        <w:r>
          <w:rPr>
            <w:rStyle w:val="InternetLink"/>
            <w:rFonts w:ascii="Times New Roman;Times;Serif" w:hAnsi="Times New Roman;Times;Serif"/>
            <w:b w:val="false"/>
            <w:i w:val="false"/>
            <w:caps w:val="false"/>
            <w:smallCaps w:val="false"/>
            <w:sz w:val="20"/>
          </w:rPr>
          <w:t>333-262615</w:t>
        </w:r>
      </w:hyperlink>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pPr>
      <w:r>
        <w:rPr>
          <w:rFonts w:ascii="Times New Roman;Times;Serif" w:hAnsi="Times New Roman;Times;Serif"/>
          <w:b w:val="false"/>
          <w:i w:val="false"/>
          <w:caps w:val="false"/>
          <w:smallCaps w:val="false"/>
          <w:sz w:val="20"/>
        </w:rPr>
        <w:t xml:space="preserve">b.  </w:t>
      </w:r>
      <w:hyperlink r:id="rId5">
        <w:r>
          <w:rPr>
            <w:rStyle w:val="InternetLink"/>
            <w:rFonts w:ascii="Times New Roman;Times;Serif" w:hAnsi="Times New Roman;Times;Serif"/>
            <w:b w:val="false"/>
            <w:i w:val="false"/>
            <w:caps w:val="false"/>
            <w:smallCaps w:val="false"/>
            <w:sz w:val="20"/>
          </w:rPr>
          <w:t>The Registrant’s annual report on Form 20-F for the fiscal year ended December 31, 2022, filed with the Commission on April 4, 2023</w:t>
        </w:r>
      </w:hyperlink>
      <w:r>
        <w:rPr>
          <w:rFonts w:ascii="Times New Roman;Times;Serif" w:hAnsi="Times New Roman;Times;Serif"/>
          <w:b w:val="false"/>
          <w:i w:val="false"/>
          <w:caps w:val="false"/>
          <w:smallCaps w:val="false"/>
          <w:sz w:val="20"/>
        </w:rPr>
        <w:t>; and</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pPr>
      <w:r>
        <w:rPr>
          <w:rFonts w:ascii="Times New Roman;Times;Serif" w:hAnsi="Times New Roman;Times;Serif"/>
          <w:b w:val="false"/>
          <w:i w:val="false"/>
          <w:caps w:val="false"/>
          <w:smallCaps w:val="false"/>
          <w:sz w:val="20"/>
        </w:rPr>
        <w:t xml:space="preserve">c.   The description of the Registrant’s Class A Ordinary Shares contained in its </w:t>
      </w:r>
      <w:hyperlink r:id="rId6">
        <w:r>
          <w:rPr>
            <w:rStyle w:val="InternetLink"/>
            <w:rFonts w:ascii="Times New Roman;Times;Serif" w:hAnsi="Times New Roman;Times;Serif"/>
            <w:b w:val="false"/>
            <w:i w:val="false"/>
            <w:caps w:val="false"/>
            <w:smallCaps w:val="false"/>
            <w:sz w:val="20"/>
          </w:rPr>
          <w:t>Registration Statement on Form 8-A (Registration No. 001-37925) filed with the Commission on October 20, 2016</w:t>
        </w:r>
      </w:hyperlink>
      <w:r>
        <w:rPr>
          <w:rFonts w:ascii="Times New Roman;Times;Serif" w:hAnsi="Times New Roman;Times;Serif"/>
          <w:b w:val="false"/>
          <w:i w:val="false"/>
          <w:caps w:val="false"/>
          <w:smallCaps w:val="false"/>
          <w:sz w:val="20"/>
        </w:rPr>
        <w:t xml:space="preserve"> pursuant to Section 12 of the Securities Exchange Act of 1934, as amended (the “Exchange Act”), which incorporates by reference the description of the Registrant’s Class A Ordinary Shares set forth in the </w:t>
      </w:r>
      <w:hyperlink r:id="rId7">
        <w:r>
          <w:rPr>
            <w:rStyle w:val="InternetLink"/>
            <w:rFonts w:ascii="Times New Roman;Times;Serif" w:hAnsi="Times New Roman;Times;Serif"/>
            <w:b w:val="false"/>
            <w:i w:val="false"/>
            <w:caps w:val="false"/>
            <w:smallCaps w:val="false"/>
            <w:sz w:val="20"/>
          </w:rPr>
          <w:t>Registrant’s Registration Statement on Form F-1 (Registration No. 333-213951), as amended, originally filed with the Commission on October 4, 2016</w:t>
        </w:r>
      </w:hyperlink>
      <w:r>
        <w:rPr>
          <w:rFonts w:ascii="Times New Roman;Times;Serif" w:hAnsi="Times New Roman;Times;Serif"/>
          <w:b w:val="false"/>
          <w:i w:val="false"/>
          <w:caps w:val="false"/>
          <w:smallCaps w:val="false"/>
          <w:sz w:val="20"/>
        </w:rPr>
        <w:t>, including any amendments or reports filed for the purpose of updating such description.</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on the accompanying Exhibit Index are filed as a part of, or incorporated by reference into, this Registration Statement. (See Exhibit Index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60"/>
        <w:gridCol w:w="9255"/>
      </w:tblGrid>
      <w:tr>
        <w:trPr/>
        <w:tc>
          <w:tcPr>
            <w:tcW w:w="89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90" w:type="dxa"/>
            <w:tcBorders/>
            <w:vAlign w:val="center"/>
          </w:tcPr>
          <w:p>
            <w:pPr>
              <w:pStyle w:val="TableContents"/>
              <w:bidi w:val="0"/>
              <w:spacing w:before="0" w:after="283"/>
              <w:jc w:val="left"/>
              <w:rPr/>
            </w:pPr>
            <w:hyperlink r:id="rId8">
              <w:r>
                <w:rPr>
                  <w:rStyle w:val="InternetLink"/>
                  <w:sz w:val="20"/>
                </w:rPr>
                <w:t>4.1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9">
              <w:r>
                <w:rPr>
                  <w:rStyle w:val="InternetLink"/>
                  <w:sz w:val="20"/>
                </w:rPr>
                <w:t>Amended and Restated Memorandum and Articles of Association of the Registrant (incorporated by reference to Exhibit 3.1 to the Registrant’s current report on Form 6-K for June 2023 (File No. 001-37925) furnished to the Securities and Exchange Commission on June 5, 2023)</w:t>
              </w:r>
            </w:hyperlink>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44884d1_ex5-1.htm">
              <w:r>
                <w:rPr>
                  <w:rStyle w:val="InternetLink"/>
                  <w:sz w:val="20"/>
                </w:rPr>
                <w:t>5.1*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44884d1_ex5-1.htm">
              <w:r>
                <w:rPr>
                  <w:rStyle w:val="InternetLink"/>
                  <w:sz w:val="20"/>
                </w:rPr>
                <w:t>Opinion of Conyers Dill &amp; Pearman </w:t>
              </w:r>
            </w:hyperlink>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r:id="rId10">
              <w:r>
                <w:rPr>
                  <w:rStyle w:val="InternetLink"/>
                  <w:sz w:val="20"/>
                </w:rPr>
                <w:t>10.1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r:id="rId11">
              <w:r>
                <w:rPr>
                  <w:rStyle w:val="InternetLink"/>
                  <w:sz w:val="20"/>
                </w:rPr>
                <w:t>GDS Holdings Limited 2016 Equity Incentive Plan (as amended on August 6, 2020) (incorporated by reference to Exhibit 4.30 to the Registrant’s annual report on Form 20-F for the fiscal year ended December 31, 2020 (File No. 001-37925) filed with the Securities and Exchange Commission on April 12, 2021)</w:t>
              </w:r>
            </w:hyperlink>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44884d1_ex5-1.htm">
              <w:r>
                <w:rPr>
                  <w:rStyle w:val="InternetLink"/>
                  <w:sz w:val="20"/>
                </w:rPr>
                <w:t>23.1*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44884d1_ex5-1.htm">
              <w:r>
                <w:rPr>
                  <w:rStyle w:val="InternetLink"/>
                  <w:sz w:val="20"/>
                </w:rPr>
                <w:t>Consent of Conyers Dill &amp; Pearman (included in Exhibit 5.1)</w:t>
              </w:r>
            </w:hyperlink>
          </w:p>
        </w:tc>
      </w:tr>
      <w:tr>
        <w:trPr/>
        <w:tc>
          <w:tcPr>
            <w:tcW w:w="890" w:type="dxa"/>
            <w:tcBorders/>
            <w:vAlign w:val="center"/>
          </w:tcPr>
          <w:p>
            <w:pPr>
              <w:pStyle w:val="TableContents"/>
              <w:bidi w:val="0"/>
              <w:spacing w:before="0" w:after="283"/>
              <w:jc w:val="left"/>
              <w:rPr/>
            </w:pPr>
            <w:r>
              <w:rPr/>
              <w:t> </w:t>
            </w:r>
          </w:p>
        </w:tc>
        <w:tc>
          <w:tcPr>
            <w:tcW w:w="9315" w:type="dxa"/>
            <w:gridSpan w:val="2"/>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44884d1_ex23-2.htm">
              <w:r>
                <w:rPr>
                  <w:rStyle w:val="InternetLink"/>
                  <w:sz w:val="20"/>
                </w:rPr>
                <w:t>23.2*</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44884d1_ex23-2.htm">
              <w:r>
                <w:rPr>
                  <w:rStyle w:val="InternetLink"/>
                  <w:sz w:val="20"/>
                </w:rPr>
                <w:t xml:space="preserve">Consent of KPMG Huazhen LLP </w:t>
              </w:r>
            </w:hyperlink>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full_001">
              <w:r>
                <w:rPr>
                  <w:rStyle w:val="InternetLink"/>
                  <w:sz w:val="20"/>
                </w:rPr>
                <w:t>24.1*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full_001">
              <w:r>
                <w:rPr>
                  <w:rStyle w:val="InternetLink"/>
                  <w:sz w:val="20"/>
                </w:rPr>
                <w:t>Powers of Attorney (included on the signature page in Part II of this Registration Statement)</w:t>
              </w:r>
            </w:hyperlink>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44884d1_ex-filingfees.htm">
              <w:r>
                <w:rPr>
                  <w:rStyle w:val="InternetLink"/>
                  <w:sz w:val="20"/>
                </w:rPr>
                <w:t>107*</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tm244884d1_ex-filingfees.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Hong Kong, China on February 20, 2024.</w:t>
      </w:r>
    </w:p>
    <w:p>
      <w:pPr>
        <w:pStyle w:val="TextBody"/>
        <w:shd w:fill="FFFFFF" w:val="clear"/>
        <w:bidi w:val="0"/>
        <w:spacing w:before="0" w:after="0"/>
        <w:ind w:left="0" w:right="0" w:firstLine="49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320"/>
        <w:gridCol w:w="3635"/>
      </w:tblGrid>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Wei Huang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William Wei Huang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full_001"/>
      <w:bookmarkEnd w:id="2"/>
      <w:r>
        <w:rPr>
          <w:rFonts w:ascii="Times New Roman;Times;Serif" w:hAnsi="Times New Roman;Times;Serif"/>
          <w:b/>
          <w:i w:val="false"/>
          <w:caps w:val="false"/>
          <w:smallCaps w:val="false"/>
          <w:sz w:val="20"/>
        </w:rPr>
        <w:t>POWER OF ATTORNEY</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does hereby constitute and appoint William Wei Huang and Daniel Newman, and each of them singly,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may lawfully do or cause to be done by virtue hereof.</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indicated and on February 20, 2024.</w:t>
      </w:r>
    </w:p>
    <w:p>
      <w:pPr>
        <w:pStyle w:val="TextBody"/>
        <w:bidi w:val="0"/>
        <w:spacing w:before="0" w:after="0"/>
        <w:ind w:left="0" w:right="0" w:firstLine="720"/>
        <w:jc w:val="left"/>
        <w:rPr>
          <w:caps w:val="false"/>
          <w:smallCaps w:val="false"/>
        </w:rPr>
      </w:pPr>
      <w:r>
        <w:rPr>
          <w:caps w:val="false"/>
          <w:smallCaps w:val="false"/>
        </w:rPr>
        <w:t> </w:t>
      </w:r>
    </w:p>
    <w:tbl>
      <w:tblPr>
        <w:tblW w:w="5575" w:type="dxa"/>
        <w:jc w:val="left"/>
        <w:tblInd w:w="0" w:type="dxa"/>
        <w:tblLayout w:type="fixed"/>
        <w:tblCellMar>
          <w:top w:w="0" w:type="dxa"/>
          <w:left w:w="0" w:type="dxa"/>
          <w:bottom w:w="28" w:type="dxa"/>
          <w:right w:w="0" w:type="dxa"/>
        </w:tblCellMar>
      </w:tblPr>
      <w:tblGrid>
        <w:gridCol w:w="1880"/>
        <w:gridCol w:w="60"/>
        <w:gridCol w:w="3635"/>
      </w:tblGrid>
      <w:tr>
        <w:trPr/>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6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Capacity</w:t>
            </w:r>
          </w:p>
        </w:tc>
      </w:tr>
      <w:tr>
        <w:trPr/>
        <w:tc>
          <w:tcPr>
            <w:tcW w:w="18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William Wei Huang</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and Chief Executive Officer</w:t>
            </w:r>
          </w:p>
        </w:tc>
      </w:tr>
      <w:tr>
        <w:trPr/>
        <w:tc>
          <w:tcPr>
            <w:tcW w:w="18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Wei Huang</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18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Daniel Newman</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Daniel Newman</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Sio Tat Hiang</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Vice-chairman</w:t>
            </w:r>
          </w:p>
        </w:tc>
      </w:tr>
      <w:tr>
        <w:trPr/>
        <w:tc>
          <w:tcPr>
            <w:tcW w:w="18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Sio Tat Hiang</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r>
      <w:tr>
        <w:trPr/>
        <w:tc>
          <w:tcPr>
            <w:tcW w:w="18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r>
      <w:tr>
        <w:trPr/>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Satoshi Okada</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80" w:type="dxa"/>
            <w:tcBorders/>
            <w:tcMar>
              <w:bottom w:w="0" w:type="dxa"/>
            </w:tcMar>
            <w:vAlign w:val="center"/>
          </w:tcPr>
          <w:p>
            <w:pPr>
              <w:pStyle w:val="TableContents"/>
              <w:bidi w:val="0"/>
              <w:spacing w:before="0" w:after="283"/>
              <w:jc w:val="center"/>
              <w:rPr/>
            </w:pPr>
            <w:r>
              <w:rPr/>
              <w:t>Satoshi Okada</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595" w:type="dxa"/>
        <w:jc w:val="left"/>
        <w:tblInd w:w="0" w:type="dxa"/>
        <w:tblLayout w:type="fixed"/>
        <w:tblCellMar>
          <w:top w:w="0" w:type="dxa"/>
          <w:left w:w="0" w:type="dxa"/>
          <w:bottom w:w="28" w:type="dxa"/>
          <w:right w:w="0" w:type="dxa"/>
        </w:tblCellMar>
      </w:tblPr>
      <w:tblGrid>
        <w:gridCol w:w="1790"/>
        <w:gridCol w:w="60"/>
        <w:gridCol w:w="1745"/>
      </w:tblGrid>
      <w:tr>
        <w:trPr/>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Bruno Lopez</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7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Bruno Lopez</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bottom w:val="single" w:sz="8" w:space="0" w:color="000000"/>
            </w:tcBorders>
            <w:vAlign w:val="center"/>
          </w:tcPr>
          <w:p>
            <w:pPr>
              <w:pStyle w:val="TableContents"/>
              <w:bidi w:val="0"/>
              <w:spacing w:before="0" w:after="283"/>
              <w:jc w:val="center"/>
              <w:rPr/>
            </w:pPr>
            <w:r>
              <w:rPr/>
              <w:t>/s/ Liu Chee Ming</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790" w:type="dxa"/>
            <w:tcBorders/>
            <w:tcMar>
              <w:bottom w:w="0" w:type="dxa"/>
            </w:tcMar>
            <w:vAlign w:val="center"/>
          </w:tcPr>
          <w:p>
            <w:pPr>
              <w:pStyle w:val="TableContents"/>
              <w:bidi w:val="0"/>
              <w:spacing w:before="0" w:after="283"/>
              <w:jc w:val="center"/>
              <w:rPr/>
            </w:pPr>
            <w:r>
              <w:rPr/>
              <w:t>Liu Chee Ming</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Lim Ah Doo</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7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Lim Ah Doo</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Bin Yu</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7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Bin Yu</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Zulkifli Baharudin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7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Zulkifli Baharudin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Chang Sun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7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Chang Sun</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Gary J. Wojtaszek</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7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Gary J. Wojtaszek</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r>
        <w:trPr/>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Judy Qing Ye</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7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Judy Qing Ye</w:t>
            </w:r>
          </w:p>
        </w:tc>
        <w:tc>
          <w:tcPr>
            <w:tcW w:w="60" w:type="dxa"/>
            <w:tcBorders/>
            <w:tcMar>
              <w:bottom w:w="0" w:type="dxa"/>
            </w:tcMar>
            <w:vAlign w:val="center"/>
          </w:tcPr>
          <w:p>
            <w:pPr>
              <w:pStyle w:val="TableContents"/>
              <w:bidi w:val="0"/>
              <w:spacing w:before="0" w:after="283"/>
              <w:jc w:val="center"/>
              <w:rPr/>
            </w:pPr>
            <w:r>
              <w:rPr/>
              <w:t> </w:t>
            </w:r>
          </w:p>
        </w:tc>
        <w:tc>
          <w:tcPr>
            <w:tcW w:w="17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ind w:left="0" w:right="0" w:firstLine="72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 </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GDS Holdings Limited has signed this registration statement or amendment thereto in New York, New York on February 20, 2024.</w:t>
      </w:r>
    </w:p>
    <w:p>
      <w:pPr>
        <w:pStyle w:val="TextBody"/>
        <w:shd w:fill="FFFFFF" w:val="clear"/>
        <w:bidi w:val="0"/>
        <w:spacing w:before="0" w:after="0"/>
        <w:ind w:left="0" w:right="0" w:firstLine="49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60"/>
        <w:gridCol w:w="766"/>
        <w:gridCol w:w="1305"/>
        <w:gridCol w:w="4217"/>
      </w:tblGrid>
      <w:tr>
        <w:trPr/>
        <w:tc>
          <w:tcPr>
            <w:tcW w:w="60" w:type="dxa"/>
            <w:tcBorders/>
            <w:vAlign w:val="center"/>
          </w:tcPr>
          <w:p>
            <w:pPr>
              <w:pStyle w:val="TableContents"/>
              <w:bidi w:val="0"/>
              <w:spacing w:before="0" w:after="283"/>
              <w:jc w:val="left"/>
              <w:rPr/>
            </w:pPr>
            <w:r>
              <w:rPr/>
              <w:t> </w:t>
            </w:r>
          </w:p>
        </w:tc>
        <w:tc>
          <w:tcPr>
            <w:tcW w:w="62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COGENCY GLOBAL INC. — Authorized Representative in the United States</w:t>
            </w:r>
          </w:p>
        </w:tc>
      </w:tr>
      <w:tr>
        <w:trPr/>
        <w:tc>
          <w:tcPr>
            <w:tcW w:w="60" w:type="dxa"/>
            <w:tcBorders/>
            <w:vAlign w:val="center"/>
          </w:tcPr>
          <w:p>
            <w:pPr>
              <w:pStyle w:val="TableContents"/>
              <w:bidi w:val="0"/>
              <w:spacing w:before="0" w:after="283"/>
              <w:jc w:val="left"/>
              <w:rPr/>
            </w:pPr>
            <w:r>
              <w:rPr/>
              <w:t> </w:t>
            </w:r>
          </w:p>
        </w:tc>
        <w:tc>
          <w:tcPr>
            <w:tcW w:w="628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2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r>
      <w:tr>
        <w:trPr/>
        <w:tc>
          <w:tcPr>
            <w:tcW w:w="6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552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behalf of Cogency Global Inc.</w:t>
            </w:r>
          </w:p>
        </w:tc>
      </w:tr>
      <w:tr>
        <w:trPr/>
        <w:tc>
          <w:tcPr>
            <w:tcW w:w="6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Colleen A. De Vries</w:t>
            </w:r>
          </w:p>
        </w:tc>
      </w:tr>
      <w:tr>
        <w:trPr/>
        <w:tc>
          <w:tcPr>
            <w:tcW w:w="6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ind w:left="0" w:right="0" w:hanging="0"/>
        <w:jc w:val="left"/>
        <w:rPr/>
      </w:pPr>
      <w:bookmarkStart w:id="3" w:name="tm244884d1_ex5-1.htm"/>
      <w:bookmarkStart w:id="4" w:name="kstm244884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7610" w:type="dxa"/>
        <w:jc w:val="left"/>
        <w:tblInd w:w="0" w:type="dxa"/>
        <w:tblLayout w:type="fixed"/>
        <w:tblCellMar>
          <w:top w:w="0" w:type="dxa"/>
          <w:left w:w="0" w:type="dxa"/>
          <w:bottom w:w="0" w:type="dxa"/>
          <w:right w:w="0" w:type="dxa"/>
        </w:tblCellMar>
      </w:tblPr>
      <w:tblGrid>
        <w:gridCol w:w="4425"/>
        <w:gridCol w:w="3185"/>
      </w:tblGrid>
      <w:tr>
        <w:trPr/>
        <w:tc>
          <w:tcPr>
            <w:tcW w:w="4425" w:type="dxa"/>
            <w:vMerge w:val="restart"/>
            <w:tcBorders/>
            <w:vAlign w:val="center"/>
          </w:tcPr>
          <w:p>
            <w:pPr>
              <w:pStyle w:val="TableContents"/>
              <w:bidi w:val="0"/>
              <w:spacing w:before="0" w:after="283"/>
              <w:jc w:val="left"/>
              <w:rPr/>
            </w:pPr>
            <w:r>
              <w:rPr/>
              <w:drawing>
                <wp:inline distT="0" distB="0" distL="0" distR="0">
                  <wp:extent cx="28003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2800350" cy="514350"/>
                          </a:xfrm>
                          <a:prstGeom prst="rect">
                            <a:avLst/>
                          </a:prstGeom>
                        </pic:spPr>
                      </pic:pic>
                    </a:graphicData>
                  </a:graphic>
                </wp:inline>
              </w:drawing>
            </w:r>
          </w:p>
        </w:tc>
        <w:tc>
          <w:tcPr>
            <w:tcW w:w="3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 DILL &amp; PEARMAN</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pPr>
            <w:r>
              <w:rPr/>
              <w:t> </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r>
              <w:rPr>
                <w:rFonts w:ascii="Times New Roman;Times;Serif" w:hAnsi="Times New Roman;Times;Serif"/>
                <w:position w:val="7"/>
                <w:sz w:val="16"/>
                <w:sz w:val="20"/>
              </w:rPr>
              <w:t>th</w:t>
            </w:r>
            <w:r>
              <w:rPr>
                <w:rFonts w:ascii="Times New Roman;Times;Serif" w:hAnsi="Times New Roman;Times;Serif"/>
                <w:sz w:val="20"/>
              </w:rPr>
              <w:t xml:space="preserve"> Floor</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Exchange Square</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Connaught Place</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Central</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pPr>
            <w:r>
              <w:rPr/>
              <w:t> </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 +852 2524 7106 | F +852 2845 9268</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pPr>
            <w:r>
              <w:rPr/>
              <w:t> </w:t>
            </w:r>
          </w:p>
        </w:tc>
      </w:tr>
      <w:tr>
        <w:trPr/>
        <w:tc>
          <w:tcPr>
            <w:tcW w:w="4425"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conyers.com</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February 2024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No.: 838126/109752626</w:t>
        <w:br/>
        <w:t>852 2842 9530</w:t>
        <w:br/>
        <w:t>Richard.Hall@conyers.com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Cricket Square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Hutchins Drive, P.O. Box 2681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8" w:right="36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368" w:right="368" w:hanging="0"/>
        <w:jc w:val="both"/>
        <w:rPr>
          <w:caps w:val="false"/>
          <w:smallCaps w:val="false"/>
        </w:rPr>
      </w:pPr>
      <w:r>
        <w:rPr>
          <w:caps w:val="false"/>
          <w:smallCaps w:val="false"/>
        </w:rPr>
        <w:t> </w:t>
      </w:r>
    </w:p>
    <w:p>
      <w:pPr>
        <w:pStyle w:val="TextBody"/>
        <w:bidi w:val="0"/>
        <w:spacing w:before="0" w:after="0"/>
        <w:ind w:left="368" w:right="36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rPr>
        <w:t>GDS Holdings Limited (the “Company”)</w:t>
      </w:r>
    </w:p>
    <w:p>
      <w:pPr>
        <w:pStyle w:val="TextBody"/>
        <w:bidi w:val="0"/>
        <w:spacing w:before="0" w:after="0"/>
        <w:ind w:left="368" w:right="368" w:hanging="0"/>
        <w:jc w:val="both"/>
        <w:rPr>
          <w:caps w:val="false"/>
          <w:smallCaps w:val="false"/>
        </w:rPr>
      </w:pPr>
      <w:r>
        <w:rPr>
          <w:caps w:val="false"/>
          <w:smallCaps w:val="false"/>
        </w:rPr>
        <w:t> </w:t>
      </w:r>
    </w:p>
    <w:p>
      <w:pPr>
        <w:pStyle w:val="TextBody"/>
        <w:bidi w:val="0"/>
        <w:spacing w:before="0" w:after="0"/>
        <w:ind w:left="368" w:right="36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special Cayman Islands legal counsel to the Company in connection with a registration statement on Form S-8 filed by the Company with the United States Securities and Exchange Commission (the “Commission”) on or about the date hereof (the “Registration </w:t>
      </w:r>
      <w:r>
        <w:rPr>
          <w:rFonts w:ascii="Times New Roman;Times;Serif" w:hAnsi="Times New Roman;Times;Serif"/>
          <w:b/>
          <w:i w:val="false"/>
          <w:caps w:val="false"/>
          <w:smallCaps w:val="false"/>
          <w:sz w:val="20"/>
        </w:rPr>
        <w:t>Statement</w:t>
      </w:r>
      <w:r>
        <w:rPr>
          <w:rFonts w:ascii="Times New Roman;Times;Serif" w:hAnsi="Times New Roman;Times;Serif"/>
          <w:b w:val="false"/>
          <w:i w:val="false"/>
          <w:caps w:val="false"/>
          <w:smallCaps w:val="false"/>
          <w:sz w:val="20"/>
        </w:rPr>
        <w:t>”, which term does not include any other document or agreement whether or not specifically referred to therein or attached as an exhibit or schedule thereto). The Registration Statement relates to the registration of an aggregate of 30,747,912 additional Class A ordinary shares par value US$0.00005 per share (the “</w:t>
      </w:r>
      <w:r>
        <w:rPr>
          <w:rFonts w:ascii="Times New Roman;Times;Serif" w:hAnsi="Times New Roman;Times;Serif"/>
          <w:b/>
          <w:i w:val="false"/>
          <w:caps w:val="false"/>
          <w:smallCaps w:val="false"/>
          <w:sz w:val="20"/>
        </w:rPr>
        <w:t>Plan Shares</w:t>
      </w:r>
      <w:r>
        <w:rPr>
          <w:rFonts w:ascii="Times New Roman;Times;Serif" w:hAnsi="Times New Roman;Times;Serif"/>
          <w:b w:val="false"/>
          <w:i w:val="false"/>
          <w:caps w:val="false"/>
          <w:smallCaps w:val="false"/>
          <w:sz w:val="20"/>
        </w:rPr>
        <w:t>”) of the Company to be issued pursuant to the Company’s 2016 Equity Incentive Plan, as amended (the “</w:t>
      </w:r>
      <w:r>
        <w:rPr>
          <w:rFonts w:ascii="Times New Roman;Times;Serif" w:hAnsi="Times New Roman;Times;Serif"/>
          <w:b/>
          <w:i w:val="false"/>
          <w:caps w:val="false"/>
          <w:smallCaps w:val="false"/>
          <w:sz w:val="20"/>
        </w:rPr>
        <w:t>2016 Plan</w:t>
      </w:r>
      <w:r>
        <w:rPr>
          <w:rFonts w:ascii="Times New Roman;Times;Serif" w:hAnsi="Times New Roman;Times;Serif"/>
          <w:b w:val="false"/>
          <w:i w:val="false"/>
          <w:caps w:val="false"/>
          <w:smallCaps w:val="false"/>
          <w:sz w:val="20"/>
        </w:rPr>
        <w:t>” which term does not include any other document or agreement whether or not specifically referred to therein or attached as an exhibit or schedule thereto).</w:t>
      </w:r>
    </w:p>
    <w:p>
      <w:pPr>
        <w:pStyle w:val="TextBody"/>
        <w:bidi w:val="0"/>
        <w:spacing w:before="0" w:after="0"/>
        <w:ind w:left="368" w:right="368"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650"/>
        <w:gridCol w:w="9432"/>
      </w:tblGrid>
      <w:tr>
        <w:trPr/>
        <w:tc>
          <w:tcPr>
            <w:tcW w:w="1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1.</w:t>
            </w:r>
          </w:p>
        </w:tc>
        <w:tc>
          <w:tcPr>
            <w:tcW w:w="94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DOCUMENTS REVIEWED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the following documents: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894"/>
        <w:gridCol w:w="9222"/>
      </w:tblGrid>
      <w:tr>
        <w:trPr/>
        <w:tc>
          <w:tcPr>
            <w:tcW w:w="8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pPr>
            <w:r>
              <w:rPr/>
              <w:t>1.1.</w:t>
            </w:r>
          </w:p>
        </w:tc>
        <w:tc>
          <w:tcPr>
            <w:tcW w:w="9222" w:type="dxa"/>
            <w:tcBorders/>
            <w:vAlign w:val="center"/>
          </w:tcPr>
          <w:p>
            <w:pPr>
              <w:pStyle w:val="TableContents"/>
              <w:bidi w:val="0"/>
              <w:spacing w:before="0" w:after="283"/>
              <w:jc w:val="both"/>
              <w:rPr/>
            </w:pPr>
            <w:r>
              <w:rPr/>
              <w:t>a copy of the Registration Statement;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1403"/>
        <w:gridCol w:w="8662"/>
      </w:tblGrid>
      <w:tr>
        <w:trPr/>
        <w:tc>
          <w:tcPr>
            <w:tcW w:w="14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pPr>
            <w:r>
              <w:rPr/>
              <w:t>1.2.</w:t>
            </w:r>
          </w:p>
        </w:tc>
        <w:tc>
          <w:tcPr>
            <w:tcW w:w="8662" w:type="dxa"/>
            <w:tcBorders/>
            <w:vAlign w:val="center"/>
          </w:tcPr>
          <w:p>
            <w:pPr>
              <w:pStyle w:val="TableContents"/>
              <w:bidi w:val="0"/>
              <w:spacing w:before="0" w:after="283"/>
              <w:jc w:val="both"/>
              <w:rPr/>
            </w:pPr>
            <w:r>
              <w:rPr/>
              <w:t>a copy of the 2016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reviewed: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1"/>
        <w:gridCol w:w="9807"/>
      </w:tblGrid>
      <w:tr>
        <w:trPr/>
        <w:tc>
          <w:tcPr>
            <w:tcW w:w="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1.3.</w:t>
            </w:r>
          </w:p>
        </w:tc>
        <w:tc>
          <w:tcPr>
            <w:tcW w:w="9807" w:type="dxa"/>
            <w:tcBorders/>
            <w:vAlign w:val="center"/>
          </w:tcPr>
          <w:p>
            <w:pPr>
              <w:pStyle w:val="TableContents"/>
              <w:bidi w:val="0"/>
              <w:spacing w:before="0" w:after="283"/>
              <w:jc w:val="both"/>
              <w:rPr/>
            </w:pPr>
            <w:r>
              <w:rPr/>
              <w:t>a copy of the Memorandum and Articles of Association of the Company, each certified by the Secretary of the Company on 20 February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8"/>
        <w:gridCol w:w="9830"/>
      </w:tblGrid>
      <w:tr>
        <w:trPr/>
        <w:tc>
          <w:tcPr>
            <w:tcW w:w="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1.4.</w:t>
            </w:r>
          </w:p>
        </w:tc>
        <w:tc>
          <w:tcPr>
            <w:tcW w:w="9830" w:type="dxa"/>
            <w:tcBorders/>
            <w:vAlign w:val="center"/>
          </w:tcPr>
          <w:p>
            <w:pPr>
              <w:pStyle w:val="TableContents"/>
              <w:bidi w:val="0"/>
              <w:spacing w:before="0" w:after="283"/>
              <w:jc w:val="left"/>
              <w:rPr/>
            </w:pPr>
            <w:r>
              <w:rPr/>
              <w:t>a copy of the minutes of a meeting of the members of the Company held on 6 August 2020 (the “</w:t>
            </w:r>
            <w:r>
              <w:rPr>
                <w:b/>
              </w:rPr>
              <w:t>Member Resolutions</w:t>
            </w:r>
            <w:r>
              <w:rPr/>
              <w:t>”) and a copy of an extract of the minutes of a meeting of its directors held on 12 January 2024 (the “</w:t>
            </w:r>
            <w:r>
              <w:rPr>
                <w:b/>
              </w:rPr>
              <w:t>Director Resolutions</w:t>
            </w:r>
            <w:r>
              <w:rPr/>
              <w:t>” and together with the Member Resolutions, the "</w:t>
            </w:r>
            <w:r>
              <w:rPr>
                <w:b/>
              </w:rPr>
              <w:t>Resolutions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1.5.</w:t>
            </w:r>
          </w:p>
        </w:tc>
        <w:tc>
          <w:tcPr>
            <w:tcW w:w="9811" w:type="dxa"/>
            <w:tcBorders/>
            <w:vAlign w:val="center"/>
          </w:tcPr>
          <w:p>
            <w:pPr>
              <w:pStyle w:val="TableContents"/>
              <w:bidi w:val="0"/>
              <w:spacing w:before="0" w:after="283"/>
              <w:jc w:val="left"/>
              <w:rPr/>
            </w:pPr>
            <w:r>
              <w:rPr/>
              <w:t>a copy of a Certificate of Good Standing issued by the Registrar of Companies in relation to the Company on 19 February 2024 (the “</w:t>
            </w:r>
            <w:r>
              <w:rPr>
                <w:b/>
              </w:rPr>
              <w:t>Certificate Date</w:t>
            </w:r>
            <w:r>
              <w:rPr/>
              <w:t>”);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1"/>
        <w:gridCol w:w="9807"/>
      </w:tblGrid>
      <w:tr>
        <w:trPr/>
        <w:tc>
          <w:tcPr>
            <w:tcW w:w="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1.6.</w:t>
            </w:r>
          </w:p>
        </w:tc>
        <w:tc>
          <w:tcPr>
            <w:tcW w:w="9807" w:type="dxa"/>
            <w:tcBorders/>
            <w:vAlign w:val="center"/>
          </w:tcPr>
          <w:p>
            <w:pPr>
              <w:pStyle w:val="TableContents"/>
              <w:bidi w:val="0"/>
              <w:spacing w:before="0" w:after="283"/>
              <w:jc w:val="left"/>
              <w:rPr/>
            </w:pPr>
            <w:r>
              <w:rPr/>
              <w:t>such other documents and made such enquiries as to questions of law as we have deemed necessary in order to render the opinion set forth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038"/>
        <w:gridCol w:w="8971"/>
      </w:tblGrid>
      <w:tr>
        <w:trPr/>
        <w:tc>
          <w:tcPr>
            <w:tcW w:w="19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2.</w:t>
            </w:r>
          </w:p>
        </w:tc>
        <w:tc>
          <w:tcPr>
            <w:tcW w:w="89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ASSUMPTIONS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2.1.</w:t>
            </w:r>
          </w:p>
        </w:tc>
        <w:tc>
          <w:tcPr>
            <w:tcW w:w="9823" w:type="dxa"/>
            <w:tcBorders/>
            <w:vAlign w:val="center"/>
          </w:tcPr>
          <w:p>
            <w:pPr>
              <w:pStyle w:val="TableContents"/>
              <w:bidi w:val="0"/>
              <w:spacing w:before="0" w:after="283"/>
              <w:jc w:val="left"/>
              <w:rPr/>
            </w:pPr>
            <w:r>
              <w:rPr/>
              <w:t>the genuineness and authenticity of all signatures and the conformity to the originals of all copies (whether or not certified) examined by us and the authenticity and completeness of the originals from which such copies were taken;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2.2.</w:t>
            </w:r>
          </w:p>
        </w:tc>
        <w:tc>
          <w:tcPr>
            <w:tcW w:w="9826" w:type="dxa"/>
            <w:tcBorders/>
            <w:vAlign w:val="center"/>
          </w:tcPr>
          <w:p>
            <w:pPr>
              <w:pStyle w:val="TableContents"/>
              <w:bidi w:val="0"/>
              <w:spacing w:before="0" w:after="283"/>
              <w:jc w:val="left"/>
              <w:rPr/>
            </w:pPr>
            <w:r>
              <w:rPr/>
              <w:t>that where a document has been examined by us in draft form, it will be or has been executed in the form of that draft, and where a number of drafts of a document have been examined by us all changes thereto have been marked or otherwise drawn to our attention;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2.3.</w:t>
            </w:r>
          </w:p>
        </w:tc>
        <w:tc>
          <w:tcPr>
            <w:tcW w:w="9811" w:type="dxa"/>
            <w:tcBorders/>
            <w:vAlign w:val="center"/>
          </w:tcPr>
          <w:p>
            <w:pPr>
              <w:pStyle w:val="TableContents"/>
              <w:bidi w:val="0"/>
              <w:spacing w:before="0" w:after="283"/>
              <w:jc w:val="left"/>
              <w:rPr/>
            </w:pPr>
            <w:r>
              <w:rPr/>
              <w:t>the accuracy and completeness of all factual representations made in the the Registration Statement, the 2016 Plan and the other documents reviewed by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2.4.</w:t>
            </w:r>
          </w:p>
        </w:tc>
        <w:tc>
          <w:tcPr>
            <w:tcW w:w="9832" w:type="dxa"/>
            <w:tcBorders/>
            <w:vAlign w:val="center"/>
          </w:tcPr>
          <w:p>
            <w:pPr>
              <w:pStyle w:val="TableContents"/>
              <w:bidi w:val="0"/>
              <w:spacing w:before="0" w:after="283"/>
              <w:jc w:val="left"/>
              <w:rPr/>
            </w:pPr>
            <w:r>
              <w:rPr/>
              <w:t>that the Director resolutions are a true and fair extract of the matters resolved at the meeting of Directors held on 12 January 2024 and that the Resolutions were passed at one or more duly convened, constituted and quorate meetings or by unanimous written resolutions, remain in full force and effect and have not been rescinded or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2.5.</w:t>
            </w:r>
          </w:p>
        </w:tc>
        <w:tc>
          <w:tcPr>
            <w:tcW w:w="9813" w:type="dxa"/>
            <w:tcBorders/>
            <w:vAlign w:val="center"/>
          </w:tcPr>
          <w:p>
            <w:pPr>
              <w:pStyle w:val="TableContents"/>
              <w:bidi w:val="0"/>
              <w:spacing w:before="0" w:after="283"/>
              <w:jc w:val="left"/>
              <w:rPr/>
            </w:pPr>
            <w:r>
              <w:rPr/>
              <w:t>that there is no provision of the law of any jurisdiction, other than the Cayman Islands, which would have any implication in relation to the opinions expressed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rP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2.6.</w:t>
            </w:r>
          </w:p>
        </w:tc>
        <w:tc>
          <w:tcPr>
            <w:tcW w:w="9815" w:type="dxa"/>
            <w:tcBorders/>
            <w:vAlign w:val="center"/>
          </w:tcPr>
          <w:p>
            <w:pPr>
              <w:pStyle w:val="TableContents"/>
              <w:bidi w:val="0"/>
              <w:spacing w:before="0" w:after="283"/>
              <w:jc w:val="left"/>
              <w:rPr/>
            </w:pPr>
            <w:r>
              <w:rPr/>
              <w:t>that upon issue of any Plan Shares by the Company the Company will receive consideration for the full issue price thereof which shall be equal to at least the par value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2.7.</w:t>
            </w:r>
          </w:p>
        </w:tc>
        <w:tc>
          <w:tcPr>
            <w:tcW w:w="9821" w:type="dxa"/>
            <w:tcBorders/>
            <w:vAlign w:val="center"/>
          </w:tcPr>
          <w:p>
            <w:pPr>
              <w:pStyle w:val="TableContents"/>
              <w:bidi w:val="0"/>
              <w:spacing w:before="0" w:after="283"/>
              <w:jc w:val="left"/>
              <w:rPr/>
            </w:pPr>
            <w:r>
              <w:rPr/>
              <w:t>the validity and binding effect under the laws of the United States of America of the Registration Statement and that the Registration Statement will be duly filed with the Commission and have become effective;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1"/>
        <w:gridCol w:w="9817"/>
      </w:tblGrid>
      <w:tr>
        <w:trPr/>
        <w:tc>
          <w:tcPr>
            <w:tcW w:w="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2.8.</w:t>
            </w:r>
          </w:p>
        </w:tc>
        <w:tc>
          <w:tcPr>
            <w:tcW w:w="9817" w:type="dxa"/>
            <w:tcBorders/>
            <w:vAlign w:val="center"/>
          </w:tcPr>
          <w:p>
            <w:pPr>
              <w:pStyle w:val="TableContents"/>
              <w:bidi w:val="0"/>
              <w:spacing w:before="0" w:after="283"/>
              <w:jc w:val="left"/>
              <w:rPr/>
            </w:pPr>
            <w:r>
              <w:rPr/>
              <w:t>that on the date of issuance of any Plan Shares, the Company will have sufficient authorised but unissued Class A ordinary shares par value US$0.00005 per share in its share capital;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2.9.</w:t>
            </w:r>
          </w:p>
        </w:tc>
        <w:tc>
          <w:tcPr>
            <w:tcW w:w="9822" w:type="dxa"/>
            <w:tcBorders/>
            <w:vAlign w:val="center"/>
          </w:tcPr>
          <w:p>
            <w:pPr>
              <w:pStyle w:val="TableContents"/>
              <w:bidi w:val="0"/>
              <w:spacing w:before="0" w:after="283"/>
              <w:jc w:val="left"/>
              <w:rPr/>
            </w:pPr>
            <w:r>
              <w:rPr/>
              <w:t>that on the date of issuing any award or Plan Shares under the 2016 Plan the Company is and after issuing any award or Plan Shares under the 2016 Plan the Company will be able to pay its liabilities as they become due.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pPr>
            <w:r>
              <w:rPr/>
              <w:t>3.</w:t>
            </w:r>
          </w:p>
        </w:tc>
        <w:tc>
          <w:tcPr>
            <w:tcW w:w="91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QUALIFICATIONS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1"/>
        <w:gridCol w:w="9807"/>
      </w:tblGrid>
      <w:tr>
        <w:trPr/>
        <w:tc>
          <w:tcPr>
            <w:tcW w:w="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3.1.</w:t>
            </w:r>
          </w:p>
        </w:tc>
        <w:tc>
          <w:tcPr>
            <w:tcW w:w="9807" w:type="dxa"/>
            <w:tcBorders/>
            <w:vAlign w:val="center"/>
          </w:tcPr>
          <w:p>
            <w:pPr>
              <w:pStyle w:val="TableContents"/>
              <w:bidi w:val="0"/>
              <w:spacing w:before="0" w:after="283"/>
              <w:jc w:val="left"/>
              <w:rPr/>
            </w:pPr>
            <w:r>
              <w:rPr/>
              <w:t>We express no opinion as to the enforceability of any provision of the 2016 Plan which purports to fetter the statutory powers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3.2.</w:t>
            </w:r>
          </w:p>
        </w:tc>
        <w:tc>
          <w:tcPr>
            <w:tcW w:w="9824" w:type="dxa"/>
            <w:tcBorders/>
            <w:vAlign w:val="center"/>
          </w:tcPr>
          <w:p>
            <w:pPr>
              <w:pStyle w:val="TableContents"/>
              <w:bidi w:val="0"/>
              <w:spacing w:before="0" w:after="283"/>
              <w:jc w:val="left"/>
              <w:rPr/>
            </w:pPr>
            <w:r>
              <w:rPr/>
              <w:t>We express no opinion with respect to the issuance of Plan Shares pursuant to any provision of the 2016 Plan that purports to obligate the Company to issue Plan Shares following the commencement of a winding up or liquidation.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0"/>
        <w:gridCol w:w="9838"/>
      </w:tblGrid>
      <w:tr>
        <w:trPr/>
        <w:tc>
          <w:tcPr>
            <w:tcW w:w="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3.3.</w:t>
            </w:r>
          </w:p>
        </w:tc>
        <w:tc>
          <w:tcPr>
            <w:tcW w:w="9838" w:type="dxa"/>
            <w:tcBorders/>
            <w:vAlign w:val="center"/>
          </w:tcPr>
          <w:p>
            <w:pPr>
              <w:pStyle w:val="TableContents"/>
              <w:bidi w:val="0"/>
              <w:spacing w:before="0" w:after="283"/>
              <w:jc w:val="left"/>
              <w:rPr/>
            </w:pPr>
            <w:r>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This opinion is issued solely for your benefit and use in connection with the matter described herein and is not to be relied upon by any other person, firm or entity or in respect of any other matter.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b/>
          <w:sz w:val="20"/>
          <w:bdr w:val="single" w:sz="8" w:space="1" w:color="000000"/>
        </w:rPr>
      </w:pPr>
      <w:r>
        <w:rPr>
          <w:b/>
          <w:sz w:val="20"/>
          <w:bdr w:val="single" w:sz="8" w:space="1" w:color="000000"/>
        </w:rPr>
        <w:t>conyers.com | 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597"/>
        <w:gridCol w:w="8305"/>
      </w:tblGrid>
      <w:tr>
        <w:trPr/>
        <w:tc>
          <w:tcPr>
            <w:tcW w:w="30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pPr>
            <w:r>
              <w:rPr/>
              <w:t>4.</w:t>
            </w:r>
          </w:p>
        </w:tc>
        <w:tc>
          <w:tcPr>
            <w:tcW w:w="8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OPINION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4.1.</w:t>
            </w:r>
          </w:p>
        </w:tc>
        <w:tc>
          <w:tcPr>
            <w:tcW w:w="9835" w:type="dxa"/>
            <w:tcBorders/>
            <w:vAlign w:val="center"/>
          </w:tcPr>
          <w:p>
            <w:pPr>
              <w:pStyle w:val="TableContents"/>
              <w:bidi w:val="0"/>
              <w:spacing w:before="0" w:after="283"/>
              <w:jc w:val="left"/>
              <w:rPr/>
            </w:pPr>
            <w:r>
              <w:rPr/>
              <w:t>The Company is duly incorporated and existing under the laws of the Cayman Islands and, based on the Certificate of Good Standing, is in good standing as at the Certificate Date. Pursuant to the Companies Act (“</w:t>
            </w:r>
            <w:r>
              <w:rPr>
                <w:b/>
              </w:rPr>
              <w:t>Act</w:t>
            </w:r>
            <w:r>
              <w:rPr/>
              <w:t>”), a company is deemed to be in good standing if all fees and penalties under the Act have been paid and the Registrar of Companies has no knowledge that the company is in default under the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4.2.</w:t>
            </w:r>
          </w:p>
        </w:tc>
        <w:tc>
          <w:tcPr>
            <w:tcW w:w="9828" w:type="dxa"/>
            <w:tcBorders/>
            <w:vAlign w:val="center"/>
          </w:tcPr>
          <w:p>
            <w:pPr>
              <w:pStyle w:val="TableContents"/>
              <w:bidi w:val="0"/>
              <w:spacing w:before="0" w:after="283"/>
              <w:jc w:val="left"/>
              <w:rPr/>
            </w:pPr>
            <w:r>
              <w:rPr/>
              <w:t>When issued and paid for in accordance with the 2016 Plan, the Plan Shares will be validly issued, fully paid and non-assessable (which term when used herein means that no further sums are required to be paid by the holders thereof in connection with the issue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In giving this consent, we do not hereby admit that we are experts within the meaning of Section 11 of the Securities Act or that we come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Conyers Dill &amp; Pearman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Conyers Dill &amp; Pearman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sz w:val="20"/>
          <w:bdr w:val="single" w:sz="8" w:space="1" w:color="000000"/>
        </w:rPr>
      </w:pPr>
      <w:r>
        <w:rPr>
          <w:b/>
          <w:sz w:val="20"/>
          <w:bdr w:val="single" w:sz="8" w:space="1" w:color="000000"/>
        </w:rPr>
        <w:t>conyers.com |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5" w:name="tm244884d1_ex23-2.htm"/>
      <w:bookmarkStart w:id="6" w:name="kstm244884d1_ex232"/>
      <w:bookmarkEnd w:id="5"/>
      <w:bookmarkEnd w:id="6"/>
      <w:r>
        <w:rPr/>
        <w:t> </w:t>
      </w:r>
      <w:r>
        <w:br w:type="page"/>
      </w:r>
    </w:p>
    <w:p>
      <w:pPr>
        <w:pStyle w:val="TextBody"/>
        <w:bidi w:val="0"/>
        <w:jc w:val="right"/>
        <w:rPr>
          <w:b/>
        </w:rPr>
      </w:pPr>
      <w:r>
        <w:rPr>
          <w:b/>
        </w:rPr>
        <w:t>Exhibit 23.2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April 4, 2023, with respect to the consolidated financial statements of GDS Holdings Limited, and the effectiveness of internal control over financial reporting,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Huazhen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2024</w:t>
      </w:r>
    </w:p>
    <w:p>
      <w:pPr>
        <w:pStyle w:val="TextBody"/>
        <w:bidi w:val="0"/>
        <w:spacing w:before="0" w:after="0"/>
        <w:ind w:left="547" w:right="0" w:hanging="0"/>
        <w:jc w:val="both"/>
        <w:rPr>
          <w:caps w:val="false"/>
          <w:smallCaps w:val="false"/>
        </w:rPr>
      </w:pPr>
      <w:r>
        <w:rPr>
          <w:caps w:val="false"/>
          <w:smallCaps w:val="false"/>
        </w:rPr>
        <w:t> </w:t>
      </w:r>
    </w:p>
    <w:p>
      <w:pPr>
        <w:pStyle w:val="TextBody"/>
        <w:bidi w:val="0"/>
        <w:spacing w:before="0" w:after="0"/>
        <w:ind w:left="547"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7" w:name="tm244884d1_ex-filingfees.htm"/>
      <w:bookmarkStart w:id="8" w:name="kstm244884d1_exfilingfees"/>
      <w:bookmarkEnd w:id="7"/>
      <w:bookmarkEnd w:id="8"/>
      <w:r>
        <w:rPr/>
        <w:t> </w:t>
      </w:r>
      <w:r>
        <w:br w:type="page"/>
      </w:r>
    </w:p>
    <w:p>
      <w:pPr>
        <w:pStyle w:val="TextBody"/>
        <w:bidi w:val="0"/>
        <w:jc w:val="right"/>
        <w:rPr>
          <w:b/>
        </w:rPr>
      </w:pPr>
      <w:r>
        <w:rPr>
          <w:b/>
        </w:rPr>
        <w:t>Exhibit 107</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GDS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4"/>
        <w:gridCol w:w="2539"/>
        <w:gridCol w:w="1010"/>
        <w:gridCol w:w="1321"/>
        <w:gridCol w:w="918"/>
        <w:gridCol w:w="1359"/>
        <w:gridCol w:w="1010"/>
        <w:gridCol w:w="1094"/>
      </w:tblGrid>
      <w:tr>
        <w:trPr/>
        <w:tc>
          <w:tcPr>
            <w:tcW w:w="95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Type</w:t>
            </w:r>
          </w:p>
        </w:tc>
        <w:tc>
          <w:tcPr>
            <w:tcW w:w="253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br/>
              <w:t>Class Title</w:t>
            </w:r>
          </w:p>
        </w:tc>
        <w:tc>
          <w:tcPr>
            <w:tcW w:w="10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 </w:t>
              <w:br/>
              <w:t>Calculation</w:t>
              <w:br/>
              <w:t>Rule</w:t>
            </w:r>
          </w:p>
        </w:tc>
        <w:tc>
          <w:tcPr>
            <w:tcW w:w="132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br/>
              <w:t>Registered</w:t>
            </w:r>
            <w:r>
              <w:rPr>
                <w:rFonts w:ascii="Times New Roman;Times;Serif" w:hAnsi="Times New Roman;Times;Serif"/>
                <w:b/>
                <w:i w:val="false"/>
                <w:caps w:val="false"/>
                <w:smallCaps w:val="false"/>
                <w:position w:val="7"/>
                <w:sz w:val="16"/>
                <w:sz w:val="20"/>
              </w:rPr>
              <w:t>(1)</w:t>
            </w:r>
          </w:p>
        </w:tc>
        <w:tc>
          <w:tcPr>
            <w:tcW w:w="918"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br/>
              <w:t>Maximum</w:t>
              <w:br/>
              <w:t xml:space="preserve">Offering </w:t>
              <w:br/>
              <w:t>Price Per</w:t>
              <w:br/>
              <w:t>Unit</w:t>
            </w:r>
          </w:p>
        </w:tc>
        <w:tc>
          <w:tcPr>
            <w:tcW w:w="135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Aggregate</w:t>
              <w:br/>
              <w:t>Offering Price</w:t>
            </w:r>
          </w:p>
        </w:tc>
        <w:tc>
          <w:tcPr>
            <w:tcW w:w="10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Rate</w:t>
            </w:r>
          </w:p>
        </w:tc>
        <w:tc>
          <w:tcPr>
            <w:tcW w:w="109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Registration</w:t>
              <w:br/>
              <w:t>Fee</w:t>
            </w:r>
          </w:p>
        </w:tc>
      </w:tr>
      <w:tr>
        <w:trPr/>
        <w:tc>
          <w:tcPr>
            <w:tcW w:w="954" w:type="dxa"/>
            <w:tcBorders/>
            <w:vAlign w:val="center"/>
          </w:tcPr>
          <w:p>
            <w:pPr>
              <w:pStyle w:val="TableContents"/>
              <w:bidi w:val="0"/>
              <w:spacing w:before="0" w:after="283"/>
              <w:jc w:val="left"/>
              <w:rPr>
                <w:sz w:val="20"/>
              </w:rPr>
            </w:pPr>
            <w:r>
              <w:rPr>
                <w:sz w:val="20"/>
              </w:rPr>
              <w:t>Equity</w:t>
            </w:r>
          </w:p>
        </w:tc>
        <w:tc>
          <w:tcPr>
            <w:tcW w:w="2539" w:type="dxa"/>
            <w:tcBorders/>
            <w:vAlign w:val="center"/>
          </w:tcPr>
          <w:p>
            <w:pPr>
              <w:pStyle w:val="TableContents"/>
              <w:bidi w:val="0"/>
              <w:spacing w:before="0" w:after="283"/>
              <w:jc w:val="left"/>
              <w:rPr>
                <w:sz w:val="20"/>
              </w:rPr>
            </w:pPr>
            <w:r>
              <w:rPr>
                <w:sz w:val="20"/>
              </w:rPr>
              <w:t>Class A ordinary shares, par value US$0.00005 per share</w:t>
            </w:r>
            <w:r>
              <w:rPr>
                <w:position w:val="7"/>
                <w:sz w:val="16"/>
                <w:sz w:val="20"/>
              </w:rPr>
              <w:t>(2)</w:t>
            </w:r>
          </w:p>
        </w:tc>
        <w:tc>
          <w:tcPr>
            <w:tcW w:w="1010" w:type="dxa"/>
            <w:tcBorders/>
            <w:vAlign w:val="center"/>
          </w:tcPr>
          <w:p>
            <w:pPr>
              <w:pStyle w:val="TableContents"/>
              <w:bidi w:val="0"/>
              <w:spacing w:before="0" w:after="283"/>
              <w:jc w:val="left"/>
              <w:rPr>
                <w:sz w:val="20"/>
              </w:rPr>
            </w:pPr>
            <w:r>
              <w:rPr>
                <w:sz w:val="20"/>
              </w:rPr>
              <w:t>Other</w:t>
            </w:r>
            <w:r>
              <w:rPr>
                <w:position w:val="7"/>
                <w:sz w:val="16"/>
                <w:sz w:val="20"/>
              </w:rPr>
              <w:t>(3)</w:t>
            </w:r>
          </w:p>
        </w:tc>
        <w:tc>
          <w:tcPr>
            <w:tcW w:w="1321" w:type="dxa"/>
            <w:tcBorders/>
            <w:vAlign w:val="center"/>
          </w:tcPr>
          <w:p>
            <w:pPr>
              <w:pStyle w:val="TableContents"/>
              <w:bidi w:val="0"/>
              <w:spacing w:before="0" w:after="283"/>
              <w:jc w:val="left"/>
              <w:rPr>
                <w:sz w:val="20"/>
              </w:rPr>
            </w:pPr>
            <w:r>
              <w:rPr>
                <w:sz w:val="20"/>
              </w:rPr>
              <w:t>30,747,912  shares</w:t>
            </w:r>
            <w:r>
              <w:rPr>
                <w:position w:val="7"/>
                <w:sz w:val="16"/>
                <w:sz w:val="20"/>
              </w:rPr>
              <w:t>(4)</w:t>
            </w:r>
          </w:p>
        </w:tc>
        <w:tc>
          <w:tcPr>
            <w:tcW w:w="918" w:type="dxa"/>
            <w:tcBorders/>
            <w:vAlign w:val="center"/>
          </w:tcPr>
          <w:p>
            <w:pPr>
              <w:pStyle w:val="TableContents"/>
              <w:bidi w:val="0"/>
              <w:spacing w:before="0" w:after="283"/>
              <w:jc w:val="left"/>
              <w:rPr>
                <w:sz w:val="20"/>
              </w:rPr>
            </w:pPr>
            <w:r>
              <w:rPr>
                <w:sz w:val="20"/>
              </w:rPr>
              <w:t>US$0.74</w:t>
            </w:r>
            <w:r>
              <w:rPr>
                <w:position w:val="7"/>
                <w:sz w:val="16"/>
                <w:sz w:val="20"/>
              </w:rPr>
              <w:t>(3)</w:t>
            </w:r>
          </w:p>
        </w:tc>
        <w:tc>
          <w:tcPr>
            <w:tcW w:w="1359" w:type="dxa"/>
            <w:tcBorders/>
            <w:vAlign w:val="center"/>
          </w:tcPr>
          <w:p>
            <w:pPr>
              <w:pStyle w:val="TableContents"/>
              <w:bidi w:val="0"/>
              <w:spacing w:before="0" w:after="283"/>
              <w:jc w:val="left"/>
              <w:rPr>
                <w:sz w:val="20"/>
              </w:rPr>
            </w:pPr>
            <w:r>
              <w:rPr>
                <w:sz w:val="20"/>
              </w:rPr>
              <w:t>US$22,753,454.88</w:t>
            </w:r>
          </w:p>
        </w:tc>
        <w:tc>
          <w:tcPr>
            <w:tcW w:w="1010" w:type="dxa"/>
            <w:tcBorders/>
            <w:vAlign w:val="center"/>
          </w:tcPr>
          <w:p>
            <w:pPr>
              <w:pStyle w:val="TableContents"/>
              <w:bidi w:val="0"/>
              <w:spacing w:before="0" w:after="283"/>
              <w:jc w:val="left"/>
              <w:rPr>
                <w:sz w:val="20"/>
              </w:rPr>
            </w:pPr>
            <w:r>
              <w:rPr>
                <w:sz w:val="20"/>
              </w:rPr>
              <w:t>0.00014760</w:t>
            </w:r>
          </w:p>
        </w:tc>
        <w:tc>
          <w:tcPr>
            <w:tcW w:w="1094" w:type="dxa"/>
            <w:tcBorders/>
            <w:vAlign w:val="center"/>
          </w:tcPr>
          <w:p>
            <w:pPr>
              <w:pStyle w:val="TableContents"/>
              <w:bidi w:val="0"/>
              <w:spacing w:before="0" w:after="283"/>
              <w:jc w:val="left"/>
              <w:rPr>
                <w:sz w:val="20"/>
              </w:rPr>
            </w:pPr>
            <w:r>
              <w:rPr>
                <w:sz w:val="20"/>
              </w:rPr>
              <w:t>US$3,358.41</w:t>
            </w:r>
          </w:p>
        </w:tc>
      </w:tr>
      <w:tr>
        <w:trPr/>
        <w:tc>
          <w:tcPr>
            <w:tcW w:w="5824" w:type="dxa"/>
            <w:gridSpan w:val="4"/>
            <w:tcBorders/>
            <w:vAlign w:val="center"/>
          </w:tcPr>
          <w:p>
            <w:pPr>
              <w:pStyle w:val="TableContents"/>
              <w:bidi w:val="0"/>
              <w:spacing w:before="0" w:after="283"/>
              <w:jc w:val="center"/>
              <w:rPr>
                <w:b/>
                <w:sz w:val="20"/>
              </w:rPr>
            </w:pPr>
            <w:r>
              <w:rPr>
                <w:b/>
                <w:sz w:val="20"/>
              </w:rPr>
              <w:t>Total Offering Amounts</w:t>
            </w:r>
          </w:p>
        </w:tc>
        <w:tc>
          <w:tcPr>
            <w:tcW w:w="918"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sz w:val="20"/>
              </w:rPr>
            </w:pPr>
            <w:r>
              <w:rPr>
                <w:sz w:val="20"/>
              </w:rPr>
              <w:t>US$22,753,454.88</w:t>
            </w:r>
          </w:p>
        </w:tc>
        <w:tc>
          <w:tcPr>
            <w:tcW w:w="101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sz w:val="20"/>
              </w:rPr>
            </w:pPr>
            <w:r>
              <w:rPr>
                <w:sz w:val="20"/>
              </w:rPr>
              <w:t>US$3,358.41</w:t>
            </w:r>
          </w:p>
        </w:tc>
      </w:tr>
      <w:tr>
        <w:trPr/>
        <w:tc>
          <w:tcPr>
            <w:tcW w:w="5824" w:type="dxa"/>
            <w:gridSpan w:val="4"/>
            <w:tcBorders/>
            <w:vAlign w:val="center"/>
          </w:tcPr>
          <w:p>
            <w:pPr>
              <w:pStyle w:val="TableContents"/>
              <w:bidi w:val="0"/>
              <w:spacing w:before="0" w:after="283"/>
              <w:jc w:val="center"/>
              <w:rPr>
                <w:b/>
                <w:sz w:val="20"/>
              </w:rPr>
            </w:pPr>
            <w:r>
              <w:rPr>
                <w:b/>
                <w:sz w:val="20"/>
              </w:rPr>
              <w:t>Total Fee Offsets</w:t>
            </w:r>
          </w:p>
        </w:tc>
        <w:tc>
          <w:tcPr>
            <w:tcW w:w="918"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pPr>
            <w:r>
              <w:rPr/>
              <w:t>—</w:t>
            </w:r>
          </w:p>
        </w:tc>
      </w:tr>
      <w:tr>
        <w:trPr/>
        <w:tc>
          <w:tcPr>
            <w:tcW w:w="5824" w:type="dxa"/>
            <w:gridSpan w:val="4"/>
            <w:tcBorders/>
            <w:vAlign w:val="center"/>
          </w:tcPr>
          <w:p>
            <w:pPr>
              <w:pStyle w:val="TableContents"/>
              <w:bidi w:val="0"/>
              <w:spacing w:before="0" w:after="283"/>
              <w:jc w:val="center"/>
              <w:rPr>
                <w:b/>
                <w:sz w:val="20"/>
              </w:rPr>
            </w:pPr>
            <w:r>
              <w:rPr>
                <w:b/>
                <w:sz w:val="20"/>
              </w:rPr>
              <w:t>Net Fee Due</w:t>
            </w:r>
          </w:p>
        </w:tc>
        <w:tc>
          <w:tcPr>
            <w:tcW w:w="918"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sz w:val="20"/>
              </w:rPr>
            </w:pPr>
            <w:r>
              <w:rPr>
                <w:sz w:val="20"/>
              </w:rPr>
              <w:t>US$3,358.41</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283"/>
              <w:jc w:val="left"/>
              <w:rPr/>
            </w:pPr>
            <w:r>
              <w:rPr/>
              <w:t>Pursuant to Rule 416(a) under the Securities Act of 1933, as amended, the registration statement of which this exhibit 107 is a part includes an indeterminate number of additional Class A ordinary shares, par value US$0.00005 per share (the “Class A Ordinary Shares”) of GDS Holdings Limited (the “Registrant”), which may be offered and issued under the Registrant’s 2016 Equity Incentive Plan (the “2016 Plan”) to prevent dilution from stock splits, stock dividends or similar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left"/>
              <w:rPr/>
            </w:pPr>
            <w:r>
              <w:rPr/>
              <w:t>These Class A Ordinary Shares may be represented by the Registrant’s American depositary shares (“ADSs”), each of which represents eight Class A Ordinary Shares. ADSs issuable upon deposit of the securities registered hereby have been registered under separate registration statements on Form F-6 (Registration No. 333-214177, Registration No. 333-235363, Registration No. 333-249704 and Registration No. 333-271499).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283"/>
              <w:jc w:val="left"/>
              <w:rPr/>
            </w:pPr>
            <w:r>
              <w:rPr/>
              <w:t>Estimated in accordance with Rule 457(c) and (h) solely for the purpose of calculating the registration fee based on the average of the high and low prices of the Registrant’s ADSs as reported on the Nasdaq Global Market on February 13, 2024 divided by eight, the then Class A Ordinary Share-to-ADS ratio.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left"/>
              <w:rPr/>
            </w:pPr>
            <w:r>
              <w:rPr/>
              <w:t>An additional 30,747,912 Class A Ordinary Shares are being registered on the registration statement of which this exhibit 107 is a part to cover the additional Class A Ordinary Shares that may be issued under the 2016 Plan, as amended on August 6, 2020, which were not previously registered under the Registrant’s registration statements on Form S-8, as filed with the Securities and Exchange Commission on November 25, 2016 (File No. 333-214800), August 12, 2020 (File No. 333-244736) and February 10, 2022 (File No. 333-262615).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125/000110465916159015/a16-22005_1s8.htm" TargetMode="External"/><Relationship Id="rId3" Type="http://schemas.openxmlformats.org/officeDocument/2006/relationships/hyperlink" Target="https://www.sec.gov/Archives/edgar/data/1526125/000110465920093457/a20-27095_1s8.htm" TargetMode="External"/><Relationship Id="rId4" Type="http://schemas.openxmlformats.org/officeDocument/2006/relationships/hyperlink" Target="https://www.sec.gov/Archives/edgar/data/1526125/000110465922017373/tm225828d1_s8.htm" TargetMode="External"/><Relationship Id="rId5" Type="http://schemas.openxmlformats.org/officeDocument/2006/relationships/hyperlink" Target="https://www.sec.gov/ix?doc=/Archives/edgar/data/1526125/000110465923041218/gds-20221231x20f.htm" TargetMode="External"/><Relationship Id="rId6" Type="http://schemas.openxmlformats.org/officeDocument/2006/relationships/hyperlink" Target="https://www.sec.gov/Archives/edgar/data/1526125/000110465916151067/a16-11090_108a12b.htm" TargetMode="External"/><Relationship Id="rId7" Type="http://schemas.openxmlformats.org/officeDocument/2006/relationships/hyperlink" Target="https://www.sec.gov/Archives/edgar/data/1526125/000104746916015923/a2229616zf-1.htm" TargetMode="External"/><Relationship Id="rId8" Type="http://schemas.openxmlformats.org/officeDocument/2006/relationships/hyperlink" Target="https://www.sec.gov/Archives/edgar/data/1526125/000110465923067874/tm2317790d1_ex3-1.htm" TargetMode="External"/><Relationship Id="rId9" Type="http://schemas.openxmlformats.org/officeDocument/2006/relationships/hyperlink" Target="https://www.sec.gov/Archives/edgar/data/1526125/000110465923067874/tm2317790d1_ex3-1.htm" TargetMode="External"/><Relationship Id="rId10" Type="http://schemas.openxmlformats.org/officeDocument/2006/relationships/hyperlink" Target="https://www.sec.gov/Archives/edgar/data/1526125/000104746916015923/a2229616zex-10_26.htm" TargetMode="External"/><Relationship Id="rId11" Type="http://schemas.openxmlformats.org/officeDocument/2006/relationships/hyperlink" Target="https://www.sec.gov/Archives/edgar/data/1526125/000104746916015923/a2229616zex-10_26.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3196</Words>
  <Characters>16735</Characters>
  <CharactersWithSpaces>19982</CharactersWithSpaces>
  <Paragraphs>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