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00" w:type="dxa"/>
            <w:vAlign w:val="bottom"/>
          </w:tcPr>
          <w:p>
            <w:pPr>
              <w:ind w:left="80"/>
              <w:spacing w:after="0"/>
              <w:rPr>
                <w:sz w:val="20"/>
                <w:szCs w:val="20"/>
                <w:color w:val="auto"/>
              </w:rPr>
            </w:pPr>
            <w:r>
              <w:rPr>
                <w:rFonts w:ascii="Arial" w:cs="Arial" w:eastAsia="Arial" w:hAnsi="Arial"/>
                <w:sz w:val="18"/>
                <w:szCs w:val="18"/>
                <w:b w:val="1"/>
                <w:bCs w:val="1"/>
                <w:color w:val="auto"/>
                <w:w w:val="88"/>
              </w:rPr>
              <w:t>Filed Pursuant to Rule 424(b)(5)</w:t>
            </w:r>
          </w:p>
        </w:tc>
      </w:tr>
      <w:tr>
        <w:trPr>
          <w:trHeight w:val="228"/>
        </w:trPr>
        <w:tc>
          <w:tcPr>
            <w:tcW w:w="2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00" w:type="dxa"/>
            <w:vAlign w:val="bottom"/>
          </w:tcPr>
          <w:p>
            <w:pPr>
              <w:ind w:left="340"/>
              <w:spacing w:after="0"/>
              <w:rPr>
                <w:sz w:val="20"/>
                <w:szCs w:val="20"/>
                <w:color w:val="auto"/>
              </w:rPr>
            </w:pPr>
            <w:r>
              <w:rPr>
                <w:rFonts w:ascii="Arial" w:cs="Arial" w:eastAsia="Arial" w:hAnsi="Arial"/>
                <w:sz w:val="18"/>
                <w:szCs w:val="18"/>
                <w:b w:val="1"/>
                <w:bCs w:val="1"/>
                <w:color w:val="auto"/>
                <w:w w:val="89"/>
              </w:rPr>
              <w:t>Registration No. 333-222659</w:t>
            </w:r>
          </w:p>
        </w:tc>
      </w:tr>
      <w:tr>
        <w:trPr>
          <w:trHeight w:val="432"/>
        </w:trPr>
        <w:tc>
          <w:tcPr>
            <w:tcW w:w="2900" w:type="dxa"/>
            <w:vAlign w:val="bottom"/>
          </w:tcPr>
          <w:p>
            <w:pPr>
              <w:spacing w:after="0"/>
              <w:rPr>
                <w:sz w:val="24"/>
                <w:szCs w:val="24"/>
                <w:color w:val="auto"/>
              </w:rPr>
            </w:pPr>
          </w:p>
        </w:tc>
        <w:tc>
          <w:tcPr>
            <w:tcW w:w="4620" w:type="dxa"/>
            <w:vAlign w:val="bottom"/>
            <w:gridSpan w:val="2"/>
          </w:tcPr>
          <w:p>
            <w:pPr>
              <w:ind w:left="1180"/>
              <w:spacing w:after="0"/>
              <w:rPr>
                <w:sz w:val="20"/>
                <w:szCs w:val="20"/>
                <w:color w:val="auto"/>
              </w:rPr>
            </w:pPr>
            <w:r>
              <w:rPr>
                <w:rFonts w:ascii="Arial" w:cs="Arial" w:eastAsia="Arial" w:hAnsi="Arial"/>
                <w:sz w:val="18"/>
                <w:szCs w:val="18"/>
                <w:b w:val="1"/>
                <w:bCs w:val="1"/>
                <w:color w:val="auto"/>
              </w:rPr>
              <w:t>CALCULATION OF REGISTRATION FEE</w:t>
            </w:r>
          </w:p>
        </w:tc>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61"/>
        </w:trPr>
        <w:tc>
          <w:tcPr>
            <w:tcW w:w="2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16"/>
        </w:trPr>
        <w:tc>
          <w:tcPr>
            <w:tcW w:w="29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80" w:type="dxa"/>
            <w:vAlign w:val="bottom"/>
          </w:tcPr>
          <w:p>
            <w:pPr>
              <w:jc w:val="center"/>
              <w:ind w:right="327"/>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5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2500" w:type="dxa"/>
            <w:vAlign w:val="bottom"/>
          </w:tcPr>
          <w:p>
            <w:pPr>
              <w:spacing w:after="0"/>
              <w:rPr>
                <w:sz w:val="10"/>
                <w:szCs w:val="10"/>
                <w:color w:val="auto"/>
              </w:rPr>
            </w:pPr>
          </w:p>
        </w:tc>
      </w:tr>
      <w:tr>
        <w:trPr>
          <w:trHeight w:val="149"/>
        </w:trPr>
        <w:tc>
          <w:tcPr>
            <w:tcW w:w="2900" w:type="dxa"/>
            <w:vAlign w:val="bottom"/>
          </w:tcPr>
          <w:p>
            <w:pPr>
              <w:jc w:val="center"/>
              <w:ind w:right="162"/>
              <w:spacing w:after="0"/>
              <w:rPr>
                <w:sz w:val="20"/>
                <w:szCs w:val="20"/>
                <w:color w:val="auto"/>
              </w:rPr>
            </w:pPr>
            <w:r>
              <w:rPr>
                <w:rFonts w:ascii="Arial" w:cs="Arial" w:eastAsia="Arial" w:hAnsi="Arial"/>
                <w:sz w:val="13"/>
                <w:szCs w:val="13"/>
                <w:b w:val="1"/>
                <w:bCs w:val="1"/>
                <w:color w:val="auto"/>
                <w:w w:val="90"/>
              </w:rPr>
              <w:t>Title of each class of securities</w:t>
            </w:r>
          </w:p>
        </w:tc>
        <w:tc>
          <w:tcPr>
            <w:tcW w:w="1940" w:type="dxa"/>
            <w:vAlign w:val="bottom"/>
          </w:tcPr>
          <w:p>
            <w:pPr>
              <w:jc w:val="center"/>
              <w:ind w:right="2"/>
              <w:spacing w:after="0"/>
              <w:rPr>
                <w:sz w:val="20"/>
                <w:szCs w:val="20"/>
                <w:color w:val="auto"/>
              </w:rPr>
            </w:pPr>
            <w:r>
              <w:rPr>
                <w:rFonts w:ascii="Arial" w:cs="Arial" w:eastAsia="Arial" w:hAnsi="Arial"/>
                <w:sz w:val="13"/>
                <w:szCs w:val="13"/>
                <w:b w:val="1"/>
                <w:bCs w:val="1"/>
                <w:color w:val="auto"/>
                <w:w w:val="93"/>
              </w:rPr>
              <w:t>Amount to be</w:t>
            </w:r>
          </w:p>
        </w:tc>
        <w:tc>
          <w:tcPr>
            <w:tcW w:w="2680" w:type="dxa"/>
            <w:vAlign w:val="bottom"/>
          </w:tcPr>
          <w:p>
            <w:pPr>
              <w:jc w:val="center"/>
              <w:ind w:right="347"/>
              <w:spacing w:after="0"/>
              <w:rPr>
                <w:sz w:val="20"/>
                <w:szCs w:val="20"/>
                <w:color w:val="auto"/>
              </w:rPr>
            </w:pPr>
            <w:r>
              <w:rPr>
                <w:rFonts w:ascii="Arial" w:cs="Arial" w:eastAsia="Arial" w:hAnsi="Arial"/>
                <w:sz w:val="13"/>
                <w:szCs w:val="13"/>
                <w:b w:val="1"/>
                <w:bCs w:val="1"/>
                <w:color w:val="auto"/>
                <w:w w:val="95"/>
              </w:rPr>
              <w:t>offering price per</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1"/>
              </w:rPr>
              <w:t>aggregate offering</w:t>
            </w:r>
          </w:p>
        </w:tc>
        <w:tc>
          <w:tcPr>
            <w:tcW w:w="2500" w:type="dxa"/>
            <w:vAlign w:val="bottom"/>
          </w:tcPr>
          <w:p>
            <w:pPr>
              <w:jc w:val="center"/>
              <w:ind w:left="480"/>
              <w:spacing w:after="0"/>
              <w:rPr>
                <w:sz w:val="20"/>
                <w:szCs w:val="20"/>
                <w:color w:val="auto"/>
              </w:rPr>
            </w:pPr>
            <w:r>
              <w:rPr>
                <w:rFonts w:ascii="Arial" w:cs="Arial" w:eastAsia="Arial" w:hAnsi="Arial"/>
                <w:sz w:val="13"/>
                <w:szCs w:val="13"/>
                <w:b w:val="1"/>
                <w:bCs w:val="1"/>
                <w:color w:val="auto"/>
                <w:w w:val="95"/>
              </w:rPr>
              <w:t>Amount of</w:t>
            </w:r>
          </w:p>
        </w:tc>
      </w:tr>
      <w:tr>
        <w:trPr>
          <w:trHeight w:val="182"/>
        </w:trPr>
        <w:tc>
          <w:tcPr>
            <w:tcW w:w="290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3"/>
              </w:rPr>
              <w:t>to be registered(1)</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registered(1)(2)</w:t>
            </w:r>
          </w:p>
        </w:tc>
        <w:tc>
          <w:tcPr>
            <w:tcW w:w="268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4"/>
              </w:rPr>
              <w:t>share(3)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price(3)</w:t>
            </w:r>
          </w:p>
        </w:tc>
        <w:tc>
          <w:tcPr>
            <w:tcW w:w="2500" w:type="dxa"/>
            <w:vAlign w:val="bottom"/>
            <w:tcBorders>
              <w:bottom w:val="single" w:sz="8" w:color="auto"/>
            </w:tcBorders>
          </w:tcPr>
          <w:p>
            <w:pPr>
              <w:jc w:val="center"/>
              <w:ind w:left="480"/>
              <w:spacing w:after="0"/>
              <w:rPr>
                <w:sz w:val="20"/>
                <w:szCs w:val="20"/>
                <w:color w:val="auto"/>
              </w:rPr>
            </w:pPr>
            <w:r>
              <w:rPr>
                <w:rFonts w:ascii="Arial" w:cs="Arial" w:eastAsia="Arial" w:hAnsi="Arial"/>
                <w:sz w:val="13"/>
                <w:szCs w:val="13"/>
                <w:b w:val="1"/>
                <w:bCs w:val="1"/>
                <w:color w:val="auto"/>
                <w:w w:val="92"/>
              </w:rPr>
              <w:t>registration fee(3)</w:t>
            </w:r>
          </w:p>
        </w:tc>
      </w:tr>
      <w:tr>
        <w:trPr>
          <w:trHeight w:val="208"/>
        </w:trPr>
        <w:tc>
          <w:tcPr>
            <w:tcW w:w="2900" w:type="dxa"/>
            <w:vAlign w:val="bottom"/>
          </w:tcPr>
          <w:p>
            <w:pPr>
              <w:spacing w:after="0"/>
              <w:rPr>
                <w:sz w:val="20"/>
                <w:szCs w:val="20"/>
                <w:color w:val="auto"/>
              </w:rPr>
            </w:pPr>
            <w:r>
              <w:rPr>
                <w:rFonts w:ascii="Arial" w:cs="Arial" w:eastAsia="Arial" w:hAnsi="Arial"/>
                <w:sz w:val="18"/>
                <w:szCs w:val="18"/>
                <w:color w:val="auto"/>
              </w:rPr>
              <w:t>Class A ordinary shares, par value</w:t>
            </w:r>
          </w:p>
        </w:tc>
        <w:tc>
          <w:tcPr>
            <w:tcW w:w="1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2900" w:type="dxa"/>
            <w:vAlign w:val="bottom"/>
          </w:tcPr>
          <w:p>
            <w:pPr>
              <w:ind w:left="80"/>
              <w:spacing w:after="0"/>
              <w:rPr>
                <w:sz w:val="20"/>
                <w:szCs w:val="20"/>
                <w:color w:val="auto"/>
              </w:rPr>
            </w:pPr>
            <w:r>
              <w:rPr>
                <w:rFonts w:ascii="Arial" w:cs="Arial" w:eastAsia="Arial" w:hAnsi="Arial"/>
                <w:sz w:val="18"/>
                <w:szCs w:val="18"/>
                <w:color w:val="auto"/>
              </w:rPr>
              <w:t>US$0.00005 per share</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109,850,744</w:t>
            </w:r>
          </w:p>
        </w:tc>
        <w:tc>
          <w:tcPr>
            <w:tcW w:w="2680" w:type="dxa"/>
            <w:vAlign w:val="bottom"/>
          </w:tcPr>
          <w:p>
            <w:pPr>
              <w:jc w:val="center"/>
              <w:ind w:right="327"/>
              <w:spacing w:after="0"/>
              <w:rPr>
                <w:sz w:val="20"/>
                <w:szCs w:val="20"/>
                <w:color w:val="auto"/>
              </w:rPr>
            </w:pPr>
            <w:r>
              <w:rPr>
                <w:rFonts w:ascii="Arial" w:cs="Arial" w:eastAsia="Arial" w:hAnsi="Arial"/>
                <w:sz w:val="18"/>
                <w:szCs w:val="18"/>
                <w:color w:val="auto"/>
                <w:w w:val="88"/>
              </w:rPr>
              <w:t>US$4.1875</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US$459,999,990.50</w:t>
            </w:r>
          </w:p>
        </w:tc>
        <w:tc>
          <w:tcPr>
            <w:tcW w:w="2500" w:type="dxa"/>
            <w:vAlign w:val="bottom"/>
          </w:tcPr>
          <w:p>
            <w:pPr>
              <w:jc w:val="center"/>
              <w:ind w:left="480"/>
              <w:spacing w:after="0"/>
              <w:rPr>
                <w:sz w:val="20"/>
                <w:szCs w:val="20"/>
                <w:color w:val="auto"/>
              </w:rPr>
            </w:pPr>
            <w:r>
              <w:rPr>
                <w:rFonts w:ascii="Arial" w:cs="Arial" w:eastAsia="Arial" w:hAnsi="Arial"/>
                <w:sz w:val="18"/>
                <w:szCs w:val="18"/>
                <w:color w:val="auto"/>
                <w:w w:val="86"/>
              </w:rPr>
              <w:t>US$55,752</w:t>
            </w:r>
          </w:p>
        </w:tc>
      </w:tr>
      <w:tr>
        <w:trPr>
          <w:trHeight w:val="29"/>
        </w:trPr>
        <w:tc>
          <w:tcPr>
            <w:tcW w:w="2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16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Class A ordinary shares are represented by the Registrant's American depositary shares, each of which represents eight Class A ordinary shares. The ADSs issuable on deposit of the Class A ordinary shares registered hereby have been registered under a separate registration statement on Form F-6 (File No. 333-214177).</w:t>
      </w:r>
    </w:p>
    <w:p>
      <w:pPr>
        <w:spacing w:after="0" w:line="220" w:lineRule="exact"/>
        <w:rPr>
          <w:rFonts w:ascii="Arial" w:cs="Arial" w:eastAsia="Arial" w:hAnsi="Arial"/>
          <w:sz w:val="18"/>
          <w:szCs w:val="18"/>
          <w:color w:val="auto"/>
        </w:rPr>
      </w:pPr>
    </w:p>
    <w:p>
      <w:pPr>
        <w:ind w:left="540" w:right="260" w:hanging="532"/>
        <w:spacing w:after="0" w:line="25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up to 109,850,744 Class A ordinary shares to be offered by us, which assumes exercise in full of the underwriters' option to purchase up to 1,791,044 additional ADSs from us. Pursuant to Rule 416(a) under the Securities Act of 1933, as amended, this registration statement shall be deemed to cover any additional number of Class A ordinary shares that may be issued from time to time to prevent dilution as a result of a distribution, split, combination or similar transaction.</w:t>
      </w:r>
    </w:p>
    <w:p>
      <w:pPr>
        <w:spacing w:after="0" w:line="210" w:lineRule="exact"/>
        <w:rPr>
          <w:rFonts w:ascii="Arial" w:cs="Arial" w:eastAsia="Arial" w:hAnsi="Arial"/>
          <w:sz w:val="18"/>
          <w:szCs w:val="18"/>
          <w:color w:val="auto"/>
        </w:rPr>
      </w:pPr>
    </w:p>
    <w:p>
      <w:pPr>
        <w:ind w:left="540" w:right="62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estimated solely for the purpose of calculating the registration fee, has been computed pursuant to Rule 457(r)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3418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05" w:right="1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Prospectus Supplement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Prospectus dated January 23, 2018)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11,940,299 American Depository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147955</wp:posOffset>
            </wp:positionV>
            <wp:extent cx="2648585"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858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GDS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Representing 95,522,392 Class A Ordinary Shares</w:t>
      </w:r>
    </w:p>
    <w:p>
      <w:pPr>
        <w:spacing w:after="0" w:line="223" w:lineRule="exact"/>
        <w:rPr>
          <w:sz w:val="20"/>
          <w:szCs w:val="20"/>
          <w:color w:val="auto"/>
        </w:rPr>
      </w:pPr>
    </w:p>
    <w:p>
      <w:pPr>
        <w:ind w:right="160" w:firstLine="335"/>
        <w:spacing w:after="0" w:line="274" w:lineRule="auto"/>
        <w:rPr>
          <w:sz w:val="20"/>
          <w:szCs w:val="20"/>
          <w:color w:val="auto"/>
        </w:rPr>
      </w:pPr>
      <w:r>
        <w:rPr>
          <w:rFonts w:ascii="Arial" w:cs="Arial" w:eastAsia="Arial" w:hAnsi="Arial"/>
          <w:sz w:val="13"/>
          <w:szCs w:val="13"/>
          <w:color w:val="auto"/>
        </w:rPr>
        <w:t>We are offering 11,940,299 American depositary shares, or ADSs, in this offering. Each ADS represents eight of our Class A ordinary shares, par value US$0.00005 per share. We will receive all of the net proceeds from this offering.</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ADSs are listed on the Nasdaq Global Market under the symbol "GDS." On March 14, 2019, the last reported sale price of the ADSs on the Nasdaq Global Market was US$35.58 per ADS.</w:t>
      </w:r>
    </w:p>
    <w:p>
      <w:pPr>
        <w:spacing w:after="0" w:line="215" w:lineRule="exact"/>
        <w:rPr>
          <w:sz w:val="20"/>
          <w:szCs w:val="20"/>
          <w:color w:val="auto"/>
        </w:rPr>
      </w:pPr>
    </w:p>
    <w:p>
      <w:pPr>
        <w:ind w:firstLine="337"/>
        <w:spacing w:after="0" w:line="245" w:lineRule="auto"/>
        <w:rPr>
          <w:sz w:val="20"/>
          <w:szCs w:val="20"/>
          <w:color w:val="auto"/>
        </w:rPr>
      </w:pPr>
      <w:r>
        <w:rPr>
          <w:rFonts w:ascii="Arial" w:cs="Arial" w:eastAsia="Arial" w:hAnsi="Arial"/>
          <w:sz w:val="13"/>
          <w:szCs w:val="13"/>
          <w:color w:val="auto"/>
        </w:rPr>
        <w:t>Our outstanding share capital consists of Class A ordinary shares and Class B ordinary shares. The rights of the holders of our Class A ordinary shares and our Class B ordinary shares are virtually identical other than with respect to voting, conversion and director nomination rights. Each of our Class A and Class B ordinary shares is entitled to one vote per share except that each Class B ordinary share is entitled to 20 votes with respect to (i) the election of a simple majority of our directors and (ii) any change to our articles of association that would adversely affect the rights of the holders of Class B ordinary shares at general meetings of our shareholders. Each Class B ordinary share is convertible at any time into one Class A ordinary share. For so long as there are Class B ordinary shares outstanding, the holders of Class B ordinary shares will also have the right to nominate one less than a simple majority, or five, of the directors to our board of directors, which directors shall be subject to the voting arrangements described above. See "Description of Share Capital" in the accompanying prospectus.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Investing in the ADSs involves a high degree of risk. See the "Risk Factors" beginning on page S-19 of this prospectus supplement.</w:t>
      </w:r>
    </w:p>
    <w:p>
      <w:pPr>
        <w:spacing w:after="0" w:line="252" w:lineRule="exact"/>
        <w:rPr>
          <w:sz w:val="20"/>
          <w:szCs w:val="20"/>
          <w:color w:val="auto"/>
        </w:rPr>
      </w:pPr>
    </w:p>
    <w:p>
      <w:pPr>
        <w:ind w:right="420" w:firstLine="337"/>
        <w:spacing w:after="0" w:line="274" w:lineRule="auto"/>
        <w:rPr>
          <w:sz w:val="20"/>
          <w:szCs w:val="20"/>
          <w:color w:val="auto"/>
        </w:rPr>
      </w:pPr>
      <w:r>
        <w:rPr>
          <w:rFonts w:ascii="Arial" w:cs="Arial" w:eastAsia="Arial" w:hAnsi="Arial"/>
          <w:sz w:val="13"/>
          <w:szCs w:val="13"/>
          <w:color w:val="auto"/>
        </w:rPr>
        <w:t>Neither the United States Securities and Exchange Commission nor any other regulatory body has approved or disapproved of these securities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115570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PRICE US$33.50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6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27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jc w:val="center"/>
              <w:ind w:left="1393"/>
              <w:spacing w:after="0"/>
              <w:rPr>
                <w:sz w:val="20"/>
                <w:szCs w:val="20"/>
                <w:color w:val="auto"/>
              </w:rPr>
            </w:pPr>
            <w:r>
              <w:rPr>
                <w:rFonts w:ascii="Arial" w:cs="Arial" w:eastAsia="Arial" w:hAnsi="Arial"/>
                <w:sz w:val="13"/>
                <w:szCs w:val="13"/>
                <w:b w:val="1"/>
                <w:bCs w:val="1"/>
                <w:color w:val="auto"/>
                <w:w w:val="96"/>
              </w:rPr>
              <w:t>Per ADS</w:t>
            </w:r>
          </w:p>
        </w:tc>
        <w:tc>
          <w:tcPr>
            <w:tcW w:w="1480" w:type="dxa"/>
            <w:vAlign w:val="bottom"/>
            <w:tcBorders>
              <w:bottom w:val="single" w:sz="8" w:color="auto"/>
            </w:tcBorders>
          </w:tcPr>
          <w:p>
            <w:pPr>
              <w:jc w:val="center"/>
              <w:ind w:left="113"/>
              <w:spacing w:after="0"/>
              <w:rPr>
                <w:sz w:val="20"/>
                <w:szCs w:val="20"/>
                <w:color w:val="auto"/>
              </w:rPr>
            </w:pPr>
            <w:r>
              <w:rPr>
                <w:rFonts w:ascii="Arial" w:cs="Arial" w:eastAsia="Arial" w:hAnsi="Arial"/>
                <w:sz w:val="13"/>
                <w:szCs w:val="13"/>
                <w:b w:val="1"/>
                <w:bCs w:val="1"/>
                <w:color w:val="auto"/>
                <w:w w:val="96"/>
              </w:rPr>
              <w:t>Total</w:t>
            </w:r>
          </w:p>
        </w:tc>
      </w:tr>
      <w:tr>
        <w:trPr>
          <w:trHeight w:val="168"/>
        </w:trPr>
        <w:tc>
          <w:tcPr>
            <w:tcW w:w="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Public offering price</w:t>
            </w:r>
          </w:p>
        </w:tc>
        <w:tc>
          <w:tcPr>
            <w:tcW w:w="2720" w:type="dxa"/>
            <w:vAlign w:val="bottom"/>
            <w:tcBorders>
              <w:bottom w:val="single" w:sz="8" w:color="auto"/>
            </w:tcBorders>
          </w:tcPr>
          <w:p>
            <w:pPr>
              <w:jc w:val="center"/>
              <w:ind w:left="1393"/>
              <w:spacing w:after="0"/>
              <w:rPr>
                <w:sz w:val="20"/>
                <w:szCs w:val="20"/>
                <w:color w:val="auto"/>
              </w:rPr>
            </w:pPr>
            <w:r>
              <w:rPr>
                <w:rFonts w:ascii="Arial" w:cs="Arial" w:eastAsia="Arial" w:hAnsi="Arial"/>
                <w:sz w:val="13"/>
                <w:szCs w:val="13"/>
                <w:color w:val="auto"/>
                <w:w w:val="93"/>
              </w:rPr>
              <w:t>US$33.50</w:t>
            </w:r>
          </w:p>
        </w:tc>
        <w:tc>
          <w:tcPr>
            <w:tcW w:w="148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w w:val="93"/>
              </w:rPr>
              <w:t>US$400,000,016.50</w:t>
            </w:r>
          </w:p>
        </w:tc>
      </w:tr>
      <w:tr>
        <w:trPr>
          <w:trHeight w:val="169"/>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Underwriting discounts and commissions(1)</w:t>
            </w:r>
          </w:p>
        </w:tc>
        <w:tc>
          <w:tcPr>
            <w:tcW w:w="2720" w:type="dxa"/>
            <w:vAlign w:val="bottom"/>
            <w:tcBorders>
              <w:bottom w:val="single" w:sz="8" w:color="auto"/>
            </w:tcBorders>
          </w:tcPr>
          <w:p>
            <w:pPr>
              <w:jc w:val="center"/>
              <w:ind w:left="1393"/>
              <w:spacing w:after="0"/>
              <w:rPr>
                <w:sz w:val="20"/>
                <w:szCs w:val="20"/>
                <w:color w:val="auto"/>
              </w:rPr>
            </w:pPr>
            <w:r>
              <w:rPr>
                <w:rFonts w:ascii="Arial" w:cs="Arial" w:eastAsia="Arial" w:hAnsi="Arial"/>
                <w:sz w:val="13"/>
                <w:szCs w:val="13"/>
                <w:color w:val="auto"/>
                <w:w w:val="95"/>
              </w:rPr>
              <w:t>US$1.0888</w:t>
            </w:r>
          </w:p>
        </w:tc>
        <w:tc>
          <w:tcPr>
            <w:tcW w:w="1480" w:type="dxa"/>
            <w:vAlign w:val="bottom"/>
            <w:tcBorders>
              <w:bottom w:val="single" w:sz="8" w:color="auto"/>
            </w:tcBorders>
          </w:tcPr>
          <w:p>
            <w:pPr>
              <w:jc w:val="center"/>
              <w:ind w:left="113"/>
              <w:spacing w:after="0"/>
              <w:rPr>
                <w:sz w:val="20"/>
                <w:szCs w:val="20"/>
                <w:color w:val="auto"/>
              </w:rPr>
            </w:pPr>
            <w:r>
              <w:rPr>
                <w:rFonts w:ascii="Arial" w:cs="Arial" w:eastAsia="Arial" w:hAnsi="Arial"/>
                <w:sz w:val="13"/>
                <w:szCs w:val="13"/>
                <w:color w:val="auto"/>
                <w:w w:val="94"/>
              </w:rPr>
              <w:t>US$13,000,597.55</w:t>
            </w:r>
          </w:p>
        </w:tc>
      </w:tr>
      <w:tr>
        <w:trPr>
          <w:trHeight w:val="169"/>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Proceeds to us (before expenses)</w:t>
            </w:r>
          </w:p>
        </w:tc>
        <w:tc>
          <w:tcPr>
            <w:tcW w:w="2720" w:type="dxa"/>
            <w:vAlign w:val="bottom"/>
            <w:tcBorders>
              <w:bottom w:val="single" w:sz="8" w:color="auto"/>
            </w:tcBorders>
          </w:tcPr>
          <w:p>
            <w:pPr>
              <w:jc w:val="center"/>
              <w:ind w:left="1373"/>
              <w:spacing w:after="0"/>
              <w:rPr>
                <w:sz w:val="20"/>
                <w:szCs w:val="20"/>
                <w:color w:val="auto"/>
              </w:rPr>
            </w:pPr>
            <w:r>
              <w:rPr>
                <w:rFonts w:ascii="Arial" w:cs="Arial" w:eastAsia="Arial" w:hAnsi="Arial"/>
                <w:sz w:val="13"/>
                <w:szCs w:val="13"/>
                <w:color w:val="auto"/>
                <w:w w:val="94"/>
              </w:rPr>
              <w:t>US$32.4112</w:t>
            </w:r>
          </w:p>
        </w:tc>
        <w:tc>
          <w:tcPr>
            <w:tcW w:w="148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w w:val="93"/>
              </w:rPr>
              <w:t>US$386,999,418.95</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have agreed to reimburse the underwriters for certain expenses in connection with this offering. See "Underwriting."</w:t>
      </w:r>
    </w:p>
    <w:p>
      <w:pPr>
        <w:spacing w:after="0" w:line="215" w:lineRule="exact"/>
        <w:rPr>
          <w:sz w:val="20"/>
          <w:szCs w:val="20"/>
          <w:color w:val="auto"/>
        </w:rPr>
      </w:pPr>
    </w:p>
    <w:p>
      <w:pPr>
        <w:ind w:right="220" w:firstLine="335"/>
        <w:spacing w:after="0" w:line="274" w:lineRule="auto"/>
        <w:rPr>
          <w:sz w:val="20"/>
          <w:szCs w:val="20"/>
          <w:color w:val="auto"/>
        </w:rPr>
      </w:pPr>
      <w:r>
        <w:rPr>
          <w:rFonts w:ascii="Arial" w:cs="Arial" w:eastAsia="Arial" w:hAnsi="Arial"/>
          <w:sz w:val="13"/>
          <w:szCs w:val="13"/>
          <w:color w:val="auto"/>
        </w:rPr>
        <w:t>We have granted the underwriters the option, exercisable in whole or from time to time in part, to purchase up to an additional 1,791,044 ADSs at the public offering price, less underwriting discounts and commissions, within 30 days of the date of this prospectus supplement.</w:t>
      </w:r>
    </w:p>
    <w:p>
      <w:pPr>
        <w:spacing w:after="0" w:line="172" w:lineRule="exact"/>
        <w:rPr>
          <w:sz w:val="20"/>
          <w:szCs w:val="20"/>
          <w:color w:val="auto"/>
        </w:rPr>
      </w:pPr>
    </w:p>
    <w:p>
      <w:pPr>
        <w:ind w:right="40" w:firstLine="337"/>
        <w:spacing w:after="0" w:line="250" w:lineRule="auto"/>
        <w:rPr>
          <w:sz w:val="20"/>
          <w:szCs w:val="20"/>
          <w:color w:val="auto"/>
        </w:rPr>
      </w:pPr>
      <w:r>
        <w:rPr>
          <w:rFonts w:ascii="Arial" w:cs="Arial" w:eastAsia="Arial" w:hAnsi="Arial"/>
          <w:sz w:val="13"/>
          <w:szCs w:val="13"/>
          <w:color w:val="auto"/>
        </w:rPr>
        <w:t>STT GDC, one of our major shareholders which is affiliated with, and has the right to appoint, certain of our directors, has indicated an interest in purchasing up to 6,373,134 ADSs in this offering at the public offering price. However, because indications of interest are not binding agreements or commitments to purchase, the underwriters could determine to sell more, less or no ADSs to STT GDC, and STT GDC could determine to purchase more, less or no ADSs in this offering. The underwriters will receive the same underwriting discounts and commissions on any ADSs purchased by STT GDC as they will on any other ADSs sold to the public in this offering.</w:t>
      </w:r>
    </w:p>
    <w:p>
      <w:pPr>
        <w:spacing w:after="0" w:line="187" w:lineRule="exact"/>
        <w:rPr>
          <w:sz w:val="20"/>
          <w:szCs w:val="20"/>
          <w:color w:val="auto"/>
        </w:rPr>
      </w:pPr>
    </w:p>
    <w:p>
      <w:pPr>
        <w:ind w:right="40" w:firstLine="330"/>
        <w:spacing w:after="0" w:line="243" w:lineRule="auto"/>
        <w:rPr>
          <w:sz w:val="20"/>
          <w:szCs w:val="20"/>
          <w:color w:val="auto"/>
        </w:rPr>
      </w:pPr>
      <w:r>
        <w:rPr>
          <w:rFonts w:ascii="Arial" w:cs="Arial" w:eastAsia="Arial" w:hAnsi="Arial"/>
          <w:sz w:val="13"/>
          <w:szCs w:val="13"/>
          <w:color w:val="auto"/>
        </w:rPr>
        <w:t>An affiliate of China Ping An Insurance Overseas (Holdings) Limited, or Ping An Overseas Holdings, has agreed to make a US$150 million equity strategic investment in us in the form of convertible preferred shares, in reliance upon the exemption from registration provided by Regulation S under the U.S. Securities Act of 1933, as amended, or the Securities Act (the "Concurrent Private Convertible Preferred Offering"). The convertible preferred shares will initially accrue a 5% per annum dividend and have a conversion rate corresponding to a conversion price of US$35.60 per ADS, representing a premium of 13.3% to the volume weighted average price of our ADSs for the 30 trading days immediately preceding the date of signing the definitive agreement, subject to customary anti-dilution adjustments. We will have the right to trigger a mandatory conversion, beginning on March 15, 2022, subject to certain conditions, including our Class A ordinary shares achieving a specified price threshold of 150% of the conversion price. J.P. Morgan Securities LLC will serve as placement agent for the Concurrent Private Convertible Preferred Offering. The consummation of the Concurrent Private Convertible Preferred Offering is contingent on the satisfaction of certain customary conditions, but is not contingent on the consummation of this offering. The consummation of this offering is not contingent on the consummation of the Concurrent Private Convertible Preferred Offering.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underwriters expect to deliver the ADSs against payment in New York, New York on or about March 19, 2019.</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Joint Book-Running Managers</w:t>
      </w:r>
    </w:p>
    <w:p>
      <w:pPr>
        <w:spacing w:after="0" w:line="197" w:lineRule="exact"/>
        <w:rPr>
          <w:sz w:val="20"/>
          <w:szCs w:val="20"/>
          <w:color w:val="auto"/>
        </w:rPr>
      </w:pPr>
    </w:p>
    <w:p>
      <w:pPr>
        <w:ind w:left="1160"/>
        <w:spacing w:after="0"/>
        <w:tabs>
          <w:tab w:leader="none" w:pos="4360" w:val="left"/>
          <w:tab w:leader="none" w:pos="8220" w:val="left"/>
        </w:tabs>
        <w:rPr>
          <w:sz w:val="20"/>
          <w:szCs w:val="20"/>
          <w:color w:val="auto"/>
        </w:rPr>
      </w:pPr>
      <w:r>
        <w:rPr>
          <w:rFonts w:ascii="Arial" w:cs="Arial" w:eastAsia="Arial" w:hAnsi="Arial"/>
          <w:sz w:val="24"/>
          <w:szCs w:val="24"/>
          <w:b w:val="1"/>
          <w:bCs w:val="1"/>
          <w:color w:val="auto"/>
        </w:rPr>
        <w:t>J. P. Morgan</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3"/>
          <w:szCs w:val="23"/>
          <w:b w:val="1"/>
          <w:bCs w:val="1"/>
          <w:color w:val="auto"/>
        </w:rPr>
        <w:t>RBC Capital Markets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Co-managers</w:t>
      </w:r>
    </w:p>
    <w:p>
      <w:pPr>
        <w:spacing w:after="0" w:line="211" w:lineRule="exact"/>
        <w:rPr>
          <w:sz w:val="20"/>
          <w:szCs w:val="20"/>
          <w:color w:val="auto"/>
        </w:rPr>
      </w:pPr>
    </w:p>
    <w:p>
      <w:pPr>
        <w:ind w:left="1160"/>
        <w:spacing w:after="0"/>
        <w:tabs>
          <w:tab w:leader="none" w:pos="2120" w:val="left"/>
          <w:tab w:leader="none" w:pos="4120" w:val="left"/>
          <w:tab w:leader="none" w:pos="6240" w:val="left"/>
          <w:tab w:leader="none" w:pos="8180" w:val="left"/>
        </w:tabs>
        <w:rPr>
          <w:sz w:val="20"/>
          <w:szCs w:val="20"/>
          <w:color w:val="auto"/>
        </w:rPr>
      </w:pPr>
      <w:r>
        <w:rPr>
          <w:rFonts w:ascii="Arial" w:cs="Arial" w:eastAsia="Arial" w:hAnsi="Arial"/>
          <w:sz w:val="18"/>
          <w:szCs w:val="18"/>
          <w:b w:val="1"/>
          <w:bCs w:val="1"/>
          <w:color w:val="auto"/>
        </w:rPr>
        <w:t>Cowen</w:t>
      </w:r>
      <w:r>
        <w:rPr>
          <w:sz w:val="20"/>
          <w:szCs w:val="20"/>
          <w:color w:val="auto"/>
        </w:rPr>
        <w:tab/>
      </w:r>
      <w:r>
        <w:rPr>
          <w:rFonts w:ascii="Arial" w:cs="Arial" w:eastAsia="Arial" w:hAnsi="Arial"/>
          <w:sz w:val="18"/>
          <w:szCs w:val="18"/>
          <w:b w:val="1"/>
          <w:bCs w:val="1"/>
          <w:color w:val="auto"/>
        </w:rPr>
        <w:t>Credit Agricole CIB</w:t>
      </w:r>
      <w:r>
        <w:rPr>
          <w:sz w:val="20"/>
          <w:szCs w:val="20"/>
          <w:color w:val="auto"/>
        </w:rPr>
        <w:tab/>
      </w:r>
      <w:r>
        <w:rPr>
          <w:rFonts w:ascii="Arial" w:cs="Arial" w:eastAsia="Arial" w:hAnsi="Arial"/>
          <w:sz w:val="18"/>
          <w:szCs w:val="18"/>
          <w:b w:val="1"/>
          <w:bCs w:val="1"/>
          <w:color w:val="auto"/>
        </w:rPr>
        <w:t>Haitong International</w:t>
      </w:r>
      <w:r>
        <w:rPr>
          <w:sz w:val="20"/>
          <w:szCs w:val="20"/>
          <w:color w:val="auto"/>
        </w:rPr>
        <w:tab/>
      </w:r>
      <w:r>
        <w:rPr>
          <w:rFonts w:ascii="Arial" w:cs="Arial" w:eastAsia="Arial" w:hAnsi="Arial"/>
          <w:sz w:val="18"/>
          <w:szCs w:val="18"/>
          <w:b w:val="1"/>
          <w:bCs w:val="1"/>
          <w:color w:val="auto"/>
        </w:rPr>
        <w:t>Raymond James</w:t>
      </w:r>
      <w:r>
        <w:rPr>
          <w:sz w:val="20"/>
          <w:szCs w:val="20"/>
          <w:color w:val="auto"/>
        </w:rPr>
        <w:tab/>
      </w:r>
      <w:r>
        <w:rPr>
          <w:rFonts w:ascii="Arial" w:cs="Arial" w:eastAsia="Arial" w:hAnsi="Arial"/>
          <w:sz w:val="15"/>
          <w:szCs w:val="15"/>
          <w:b w:val="1"/>
          <w:bCs w:val="1"/>
          <w:color w:val="auto"/>
        </w:rPr>
        <w:t>SunTrust Robinson Humphrey</w:t>
      </w:r>
    </w:p>
    <w:p>
      <w:pPr>
        <w:sectPr>
          <w:pgSz w:w="11900" w:h="16838" w:orient="portrait"/>
          <w:cols w:equalWidth="0" w:num="1">
            <w:col w:w="11540"/>
          </w:cols>
          <w:pgMar w:left="160" w:top="51" w:right="1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Prospectus Supplement dated 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3418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6"/>
        </w:trPr>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96"/>
              </w:rPr>
              <w:t>TABLE OF CONTENTS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95"/>
              </w:rPr>
              <w:t>PROSPECTUS SUPPLEMENT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60" w:type="dxa"/>
            <w:vAlign w:val="bottom"/>
          </w:tcPr>
          <w:p>
            <w:pPr>
              <w:spacing w:after="0"/>
              <w:rPr>
                <w:sz w:val="24"/>
                <w:szCs w:val="24"/>
                <w:color w:val="auto"/>
              </w:rPr>
            </w:pPr>
          </w:p>
        </w:tc>
        <w:tc>
          <w:tcPr>
            <w:tcW w:w="33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ABOUT THIS PROSPECTUS SUPPLEMENT</w:t>
              </w:r>
            </w:hyperlink>
          </w:p>
        </w:tc>
        <w:tc>
          <w:tcPr>
            <w:tcW w:w="3280" w:type="dxa"/>
            <w:vAlign w:val="bottom"/>
            <w:gridSpan w:val="7"/>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EE"/>
            </w:tcBorders>
            <w:gridSpan w:val="3"/>
          </w:tcPr>
          <w:p>
            <w:pPr>
              <w:jc w:val="right"/>
              <w:spacing w:after="0"/>
              <w:rPr>
                <w:rFonts w:ascii="Arial" w:cs="Arial" w:eastAsia="Arial" w:hAnsi="Arial"/>
                <w:sz w:val="18"/>
                <w:szCs w:val="18"/>
                <w:color w:val="0000EE"/>
                <w:w w:val="78"/>
              </w:rPr>
            </w:pPr>
            <w:hyperlink w:anchor="page4">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2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SPECIAL NOTE REGARDING FORWARD-LOOKING STATEMENTS</w:t>
              </w:r>
            </w:hyperlink>
          </w:p>
        </w:tc>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6">
              <w:r>
                <w:rPr>
                  <w:rFonts w:ascii="Arial" w:cs="Arial" w:eastAsia="Arial" w:hAnsi="Arial"/>
                  <w:sz w:val="18"/>
                  <w:szCs w:val="18"/>
                  <w:color w:val="0000EE"/>
                  <w:w w:val="78"/>
                </w:rPr>
                <w:t>S-3</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PROSPECTUS SUPPLEMENT SUMMARY</w:t>
              </w:r>
            </w:hyperlink>
          </w:p>
        </w:tc>
        <w:tc>
          <w:tcPr>
            <w:tcW w:w="3420" w:type="dxa"/>
            <w:vAlign w:val="bottom"/>
            <w:gridSpan w:val="9"/>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7">
              <w:r>
                <w:rPr>
                  <w:rFonts w:ascii="Arial" w:cs="Arial" w:eastAsia="Arial" w:hAnsi="Arial"/>
                  <w:sz w:val="18"/>
                  <w:szCs w:val="18"/>
                  <w:color w:val="0000EE"/>
                  <w:w w:val="78"/>
                </w:rPr>
                <w:t>S-4</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THE OFFERING</w:t>
              </w:r>
            </w:hyperlink>
          </w:p>
        </w:tc>
        <w:tc>
          <w:tcPr>
            <w:tcW w:w="5380" w:type="dxa"/>
            <w:vAlign w:val="bottom"/>
            <w:gridSpan w:val="20"/>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S-9</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86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SUMMARY HISTORICAL CONSOLIDATED FINANCIAL DATA</w:t>
              </w:r>
            </w:hyperlink>
          </w:p>
        </w:tc>
        <w:tc>
          <w:tcPr>
            <w:tcW w:w="1780" w:type="dxa"/>
            <w:vAlign w:val="bottom"/>
            <w:gridSpan w:val="2"/>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S-30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5100" w:type="dxa"/>
            <w:vAlign w:val="bottom"/>
            <w:gridSpan w:val="15"/>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DILUTION</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S-32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SHARE OWNERSHIP OF DIRECTORS, OFFICERS AND PRINCIPAL SHAREHOLDERS</w:t>
              </w:r>
            </w:hyperlink>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DIVIDEND POLICY</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S-39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MARKET PRICE INFORMATION FOR OUR ADSS</w:t>
              </w:r>
            </w:hyperlink>
          </w:p>
        </w:tc>
        <w:tc>
          <w:tcPr>
            <w:tcW w:w="2800" w:type="dxa"/>
            <w:vAlign w:val="bottom"/>
            <w:gridSpan w:val="6"/>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S-40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SHARES ELIGIBLE FOR FUTURE SALE</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S-41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1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UNDERWRITING</w:t>
              </w:r>
            </w:hyperlink>
          </w:p>
        </w:tc>
        <w:tc>
          <w:tcPr>
            <w:tcW w:w="3540" w:type="dxa"/>
            <w:vAlign w:val="bottom"/>
            <w:gridSpan w:val="10"/>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S-44</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TAXATION</w:t>
              </w:r>
            </w:hyperlink>
          </w:p>
        </w:tc>
        <w:tc>
          <w:tcPr>
            <w:tcW w:w="5280" w:type="dxa"/>
            <w:vAlign w:val="bottom"/>
            <w:gridSpan w:val="18"/>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S-51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S-58</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5220" w:type="dxa"/>
            <w:vAlign w:val="bottom"/>
            <w:gridSpan w:val="17"/>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S-59</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WHERE YOU CAN FIND MORE INFORMATION ABOUT US</w:t>
              </w:r>
            </w:hyperlink>
          </w:p>
        </w:tc>
        <w:tc>
          <w:tcPr>
            <w:tcW w:w="20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S-60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INCORPORATION OF DOCUMENTS BY REFERENCE</w:t>
              </w:r>
            </w:hyperlink>
          </w:p>
        </w:tc>
        <w:tc>
          <w:tcPr>
            <w:tcW w:w="2000" w:type="dxa"/>
            <w:vAlign w:val="bottom"/>
            <w:gridSpan w:val="3"/>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S-61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4160" w:type="dxa"/>
            <w:vAlign w:val="bottom"/>
            <w:gridSpan w:val="21"/>
            <w:vMerge w:val="restart"/>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ABOUT THIS PROSPECTUS</w:t>
              </w:r>
            </w:hyperlink>
          </w:p>
        </w:tc>
        <w:tc>
          <w:tcPr>
            <w:tcW w:w="2480" w:type="dxa"/>
            <w:vAlign w:val="bottom"/>
            <w:gridSpan w:val="5"/>
            <w:vMerge w:val="restart"/>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60" w:type="dxa"/>
            <w:vAlign w:val="bottom"/>
            <w:gridSpan w:val="21"/>
            <w:vMerge w:val="continue"/>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gridSpan w:val="5"/>
          </w:tcPr>
          <w:p>
            <w:pPr>
              <w:jc w:val="right"/>
              <w:spacing w:after="0" w:line="169" w:lineRule="exact"/>
              <w:rPr>
                <w:rFonts w:ascii="Arial" w:cs="Arial" w:eastAsia="Arial" w:hAnsi="Arial"/>
                <w:sz w:val="18"/>
                <w:szCs w:val="18"/>
                <w:color w:val="0000EE"/>
              </w:rPr>
            </w:pPr>
            <w:hyperlink w:anchor="page6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FORWARD-LOOKING STATEMENTS</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800" w:type="dxa"/>
            <w:vAlign w:val="bottom"/>
            <w:gridSpan w:val="1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OUR COMPANY</w:t>
              </w:r>
            </w:hyperlink>
          </w:p>
        </w:tc>
        <w:tc>
          <w:tcPr>
            <w:tcW w:w="3840" w:type="dxa"/>
            <w:vAlign w:val="bottom"/>
            <w:gridSpan w:val="11"/>
          </w:tcPr>
          <w:p>
            <w:pPr>
              <w:spacing w:after="0"/>
              <w:rPr>
                <w:sz w:val="17"/>
                <w:szCs w:val="17"/>
                <w:color w:val="auto"/>
              </w:rPr>
            </w:pPr>
          </w:p>
        </w:tc>
        <w:tc>
          <w:tcPr>
            <w:tcW w:w="2440" w:type="dxa"/>
            <w:vAlign w:val="bottom"/>
            <w:gridSpan w:val="6"/>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CORPORATE INFORMATION</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280" w:type="dxa"/>
            <w:vAlign w:val="bottom"/>
            <w:gridSpan w:val="1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RISK FACTORS</w:t>
              </w:r>
            </w:hyperlink>
          </w:p>
        </w:tc>
        <w:tc>
          <w:tcPr>
            <w:tcW w:w="4360" w:type="dxa"/>
            <w:vAlign w:val="bottom"/>
            <w:gridSpan w:val="12"/>
          </w:tcPr>
          <w:p>
            <w:pPr>
              <w:spacing w:after="0"/>
              <w:rPr>
                <w:sz w:val="17"/>
                <w:szCs w:val="17"/>
                <w:color w:val="auto"/>
              </w:rPr>
            </w:pPr>
          </w:p>
        </w:tc>
        <w:tc>
          <w:tcPr>
            <w:tcW w:w="2440" w:type="dxa"/>
            <w:vAlign w:val="bottom"/>
            <w:gridSpan w:val="6"/>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SHARE CAPITAL</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gridSpan w:val="1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AMERICAN DEPOSITARY SHARES</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ENFORCEABILITY OF CIVIL LIABILITIES</w:t>
              </w:r>
            </w:hyperlink>
          </w:p>
        </w:tc>
        <w:tc>
          <w:tcPr>
            <w:tcW w:w="880" w:type="dxa"/>
            <w:vAlign w:val="bottom"/>
            <w:tcBorders>
              <w:top w:val="single" w:sz="8" w:color="0000EE"/>
            </w:tcBorders>
            <w:gridSpan w:val="4"/>
          </w:tcPr>
          <w:p>
            <w:pPr>
              <w:spacing w:after="0"/>
              <w:rPr>
                <w:sz w:val="17"/>
                <w:szCs w:val="17"/>
                <w:color w:val="auto"/>
              </w:rPr>
            </w:pPr>
          </w:p>
        </w:tc>
        <w:tc>
          <w:tcPr>
            <w:tcW w:w="2420" w:type="dxa"/>
            <w:vAlign w:val="bottom"/>
            <w:gridSpan w:val="4"/>
          </w:tcPr>
          <w:p>
            <w:pPr>
              <w:spacing w:after="0"/>
              <w:rPr>
                <w:sz w:val="17"/>
                <w:szCs w:val="17"/>
                <w:color w:val="auto"/>
              </w:rPr>
            </w:pPr>
          </w:p>
        </w:tc>
        <w:tc>
          <w:tcPr>
            <w:tcW w:w="226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TAXATION</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SELLING SHAREHOLDERS</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PLAN OF DISTRIBUTION</w:t>
              </w:r>
            </w:hyperlink>
          </w:p>
        </w:tc>
        <w:tc>
          <w:tcPr>
            <w:tcW w:w="4460" w:type="dxa"/>
            <w:vAlign w:val="bottom"/>
            <w:gridSpan w:val="13"/>
          </w:tcPr>
          <w:p>
            <w:pPr>
              <w:spacing w:after="0"/>
              <w:rPr>
                <w:sz w:val="17"/>
                <w:szCs w:val="17"/>
                <w:color w:val="auto"/>
              </w:rPr>
            </w:pPr>
          </w:p>
        </w:tc>
        <w:tc>
          <w:tcPr>
            <w:tcW w:w="22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LEGAL MATTERS</w:t>
              </w:r>
            </w:hyperlink>
          </w:p>
        </w:tc>
        <w:tc>
          <w:tcPr>
            <w:tcW w:w="4640" w:type="dxa"/>
            <w:vAlign w:val="bottom"/>
            <w:gridSpan w:val="14"/>
          </w:tcPr>
          <w:p>
            <w:pPr>
              <w:spacing w:after="0"/>
              <w:rPr>
                <w:sz w:val="17"/>
                <w:szCs w:val="17"/>
                <w:color w:val="auto"/>
              </w:rPr>
            </w:pPr>
          </w:p>
        </w:tc>
        <w:tc>
          <w:tcPr>
            <w:tcW w:w="22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5220" w:type="dxa"/>
            <w:vAlign w:val="bottom"/>
            <w:gridSpan w:val="17"/>
          </w:tcPr>
          <w:p>
            <w:pPr>
              <w:spacing w:after="0"/>
              <w:rPr>
                <w:sz w:val="17"/>
                <w:szCs w:val="17"/>
                <w:color w:val="auto"/>
              </w:rPr>
            </w:pPr>
          </w:p>
        </w:tc>
        <w:tc>
          <w:tcPr>
            <w:tcW w:w="226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WHERE YOU CAN FIND MORE INFORMATION ABOUT US</w:t>
              </w:r>
            </w:hyperlink>
          </w:p>
        </w:tc>
        <w:tc>
          <w:tcPr>
            <w:tcW w:w="2440" w:type="dxa"/>
            <w:vAlign w:val="bottom"/>
            <w:gridSpan w:val="6"/>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INCORPORATION OF DOCUMENTS BY REFERENCE</w:t>
              </w:r>
            </w:hyperlink>
          </w:p>
        </w:tc>
        <w:tc>
          <w:tcPr>
            <w:tcW w:w="2000" w:type="dxa"/>
            <w:vAlign w:val="bottom"/>
            <w:gridSpan w:val="3"/>
          </w:tcPr>
          <w:p>
            <w:pPr>
              <w:spacing w:after="0"/>
              <w:rPr>
                <w:sz w:val="17"/>
                <w:szCs w:val="17"/>
                <w:color w:val="auto"/>
              </w:rPr>
            </w:pPr>
          </w:p>
        </w:tc>
        <w:tc>
          <w:tcPr>
            <w:tcW w:w="22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7">
              <w:r>
                <w:rPr>
                  <w:rFonts w:ascii="Arial" w:cs="Arial" w:eastAsia="Arial" w:hAnsi="Arial"/>
                  <w:sz w:val="18"/>
                  <w:szCs w:val="18"/>
                  <w:color w:val="0000EE"/>
                  <w:w w:val="79"/>
                </w:rPr>
                <w:t>41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the accompanying prospectus or any other offering materials we file with the United States Securities and Exchange Commission, or the SEC. We have not, and the underwriters have not, authorized any other person to provide you with different information. If anyone provides you with different or inconsistent information, you should not rely on such different or inconsistent information. Neither we nor the underwriters are making an offer of the ADSs in any jurisdiction where such offer is not permitted. You should not assume that the information contained or incorporated by reference in this prospectus supplement and the accompanying prospectus or in any other offering material is accurate as of any date other than the respective dates thereof. Our business, financial condition, results of operations and prospects may have changed since those dates. Neither this prospectus supplement nor the accompanying prospectus constitutes an offer, or an invitation on our behalf or the underwriter to subscribe for and purchase, any of the ADSs and may not be used for or in connection with an offer or solicitation by anyone, in any jurisdiction in which such an offer or solicitation is not authorized or to any person to whom it is unlawful to make such an offer or solicitation.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28" w:right="1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the offering and also adds to and updates information contained in the accompanying prospectus and the documents incorporated by reference in this prospectus supplement and the accompanying prospectus. The second part is the accompanying prospectus dated January 23, 2018 included in the registration statement on Form F-3 (No. 333-222659), which provides more general information.</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any document incorporated by reference in this prospectus supplement or the accompanying prospectus, on the other hand, you should rely on the information in this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prospectus supplement, unless otherwise indicated or unless the context otherwise requires:</w:t>
      </w:r>
    </w:p>
    <w:p>
      <w:pPr>
        <w:sectPr>
          <w:pgSz w:w="11900" w:h="16838" w:orient="portrait"/>
          <w:cols w:equalWidth="0" w:num="1">
            <w:col w:w="11500"/>
          </w:cols>
          <w:pgMar w:left="160" w:top="5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"ADSs" are to our American depositary shares, each of which represents eight Class A ordinary shares, and "ADRs" are to the American depositary receipts that evidence our ADSs;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"area committed" are to the net floor area of data centers in service for which agreements from customers remain in effect;</w:t>
      </w:r>
    </w:p>
    <w:p>
      <w:pPr>
        <w:spacing w:after="0" w:line="239" w:lineRule="exact"/>
        <w:rPr>
          <w:sz w:val="20"/>
          <w:szCs w:val="20"/>
          <w:color w:val="auto"/>
        </w:rPr>
      </w:pPr>
    </w:p>
    <w:p>
      <w:pPr>
        <w:ind w:right="420"/>
        <w:spacing w:after="0" w:line="331" w:lineRule="auto"/>
        <w:rPr>
          <w:sz w:val="20"/>
          <w:szCs w:val="20"/>
          <w:color w:val="auto"/>
        </w:rPr>
      </w:pPr>
      <w:r>
        <w:rPr>
          <w:rFonts w:ascii="Arial" w:cs="Arial" w:eastAsia="Arial" w:hAnsi="Arial"/>
          <w:sz w:val="16"/>
          <w:szCs w:val="16"/>
          <w:color w:val="auto"/>
        </w:rPr>
        <w:t>"area held for future development" are to the estimated data center net floor area that we expect to be able to develop on land, at buildings and pursuant to development or lease agreements which we have secured, but which are not under construction;</w:t>
      </w:r>
    </w:p>
    <w:p>
      <w:pPr>
        <w:spacing w:after="0" w:line="15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"area in service" are to the net floor area of data centers in service for which one or more modules have been equipped and fitted out ready for utilization by customers;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"area pre-committed" are to the net floor area of data centers under construction for which agreements from customers remain in effect;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"area utilized" are to the net floor area of data centers in service that is also revenue generating pursuant to customer agreements in effect;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"area under construction" are to the net floor area of data centers which are under construction and are not yet ready for service;</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"China" and the "PRC" are to the People's Republic of China, excluding, for the purposes of this prospectus supplement only, Taiwan, the Hong Kong Special Administrative Region and the Macao Special Administrative Region;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"commitment rate" are to the ratio of area committed to area in service;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refers to, collectively, our Class A ordinary shares and Class B ordinary shares, par value US$0.00005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"pre-commitment rate" are to the ratio of area pre-committed to area under construction;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"RMB" or "Renminbi" are to the legal currency of China;</w:t>
      </w:r>
    </w:p>
    <w:p>
      <w:pPr>
        <w:spacing w:after="0" w:line="2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"self-developed data centers" are to data centers that we have either purpose-built, acquired while under construction and completed, or converted from existing buildings to fit our standards;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"sqm" are to square meters;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"third-party data centers" are to data center net floor area that we lease on a wholesale basis from other data center providers and use to provide data center services to our customers;</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2">
            <w:col w:w="800" w:space="280"/>
            <w:col w:w="10420"/>
          </w:cols>
          <w:pgMar w:left="160" w:top="5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right="4660"/>
        <w:spacing w:after="0" w:line="587" w:lineRule="auto"/>
        <w:rPr>
          <w:sz w:val="20"/>
          <w:szCs w:val="20"/>
          <w:color w:val="auto"/>
        </w:rPr>
      </w:pPr>
      <w:r>
        <w:rPr>
          <w:rFonts w:ascii="Arial" w:cs="Arial" w:eastAsia="Arial" w:hAnsi="Arial"/>
          <w:sz w:val="16"/>
          <w:szCs w:val="16"/>
          <w:color w:val="auto"/>
        </w:rPr>
        <w:t>â€¢ "total area committed" are to the sum of area committed and area pre-committed; â€¢ "US$," "U.S. dollars," or "dollars" are to the legal currency of the United States; â€¢ "utilization rate" are to the ratio of area utilized to area in service; and</w:t>
      </w: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"we," "us," "our company" and "our" are to GDS Holdings Limited and its subsidiaries and consolidated affiliated entities, as the context requires.</w:t>
      </w:r>
    </w:p>
    <w:p>
      <w:pPr>
        <w:spacing w:after="0" w:line="2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specifically indicated otherwise or unless the context otherwise requires, all references to our ordinary shares exclude Class A ordinary shares issuable upon the exercise of outstanding options with respect to our ordinary shares under our share incentive plans.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involve risks and uncertainties, including statements based on our current expectations, assumptions, estimates and projections about us and our industry. The forward-looking statements are contained principally in the sections entitled "Prospectus Supplement Summary", "Risk Factors", "Use of Proceeds", "Operating and Financial Review and Prospects" and "Management's Discussion and Analysis of Financial Condition and Results of Operations" included herein or included in our Annual Report on Form 20-F for the year ended December 31, 2018 incorporated by reference in this prospectus supplement and the accompanying prospectus.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 forward-looking statements included in this prospectus supplement relate to, among others:</w:t>
      </w:r>
    </w:p>
    <w:p>
      <w:pPr>
        <w:sectPr>
          <w:pgSz w:w="11900" w:h="16838" w:orient="portrait"/>
          <w:cols w:equalWidth="0" w:num="1">
            <w:col w:w="11560"/>
          </w:cols>
          <w:pgMar w:left="160" w:top="51" w:right="179" w:bottom="1440" w:gutter="0" w:footer="0" w:header="0"/>
        </w:sectPr>
      </w:pP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goals and strategies;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future business development,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expected growth of the data center and cloud services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regarding demand for, and market acceptance of, our services;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our expectations regarding keeping and strengthening our relationships with customers; and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general economic and business conditions in the regions where we operate.</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any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supplement. You should not place undue reliance on these forward-looking statements.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forward-looking statements made in this prospectus supplement relate only to events or information as of the date on which the statements are made in this prospectus supplement. Except as required by law, we undertake no obligation to update any forward-looking statements to reflect events or circumstances after the date on which the statements are made or to reflect the occurrence of unanticipated events. You should read this prospectus supplement and the documents that we have referred to in this prospectus supplement and have filed as exhibits to the registration statement, of which this prospectus supplement is a part, completely and with the understanding that our actual future results may be materially different from what we expect.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6202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4187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firstLine="351"/>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or incorporated by reference in this prospectus supplement. This summary is not complete and does not contain all of the information that you should consider before investing in the ADSs. You should read the entire prospectus supplement, the accompanying prospectus and the documents incorporated by reference carefully, including the section titled "Risk Factors" and our financial statements and the notes to those financial statements, which are incorporated by reference, and the other financial information appearing elsewhere in or incorporated by reference in this prospectus supplement</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40" w:firstLine="348"/>
        <w:spacing w:after="0" w:line="288" w:lineRule="auto"/>
        <w:rPr>
          <w:sz w:val="20"/>
          <w:szCs w:val="20"/>
          <w:color w:val="auto"/>
        </w:rPr>
      </w:pPr>
      <w:r>
        <w:rPr>
          <w:rFonts w:ascii="Arial" w:cs="Arial" w:eastAsia="Arial" w:hAnsi="Arial"/>
          <w:sz w:val="16"/>
          <w:szCs w:val="16"/>
          <w:color w:val="auto"/>
        </w:rPr>
        <w:t>We are a leading developer and operator of high-performance data centers in China. Our facilities are strategically located in China's primary economic hubs where demand for high-performance data center services is concentrated. Our data centers have large net floor area, high power capacity, density and efficiency, and multiple redundancy across all critical systems. We are carrier and cloud-neutral, which enables our customers to connect to all major PRC telecommunications carriers, and to access a number of the largest PRC cloud service providers, whom we host in our facilities. We offer colocation and managed services, including direct private connection to major public cloud platforms. We have an 18-year track record of service delivery, successfully fulfilling the requirements of some of the largest and most demanding customers for outsourced data center services in China. Our base of approximately 590 customers consists predominantly of cloud service providers, large Internet companies, financial institutions, telecommunications and IT service providers, and large domestic private sector and multinational corporations. As of December 31, 2018, we had an aggregate net floor area of 160,356 sqm in service, 94.9% of which was committed, and an aggregate net floor area of 65,201 sqm under construction, 48.4% of which was pre-committed.</w:t>
      </w:r>
    </w:p>
    <w:p>
      <w:pPr>
        <w:spacing w:after="0" w:line="173" w:lineRule="exact"/>
        <w:rPr>
          <w:sz w:val="20"/>
          <w:szCs w:val="20"/>
          <w:color w:val="auto"/>
        </w:rPr>
      </w:pPr>
    </w:p>
    <w:p>
      <w:pPr>
        <w:ind w:left="240" w:right="60" w:firstLine="348"/>
        <w:spacing w:after="0" w:line="253" w:lineRule="auto"/>
        <w:rPr>
          <w:sz w:val="20"/>
          <w:szCs w:val="20"/>
          <w:color w:val="auto"/>
        </w:rPr>
      </w:pPr>
      <w:r>
        <w:rPr>
          <w:rFonts w:ascii="Arial" w:cs="Arial" w:eastAsia="Arial" w:hAnsi="Arial"/>
          <w:sz w:val="18"/>
          <w:szCs w:val="18"/>
          <w:color w:val="auto"/>
        </w:rPr>
        <w:t>We believe the market for high-performance data center services in China is experiencing strong growth. Demand is driven by the confluence of several secular economic and industry trends, including: rapid growth of the Internet, e-commerce, e-payments and big data; rising adoption of cloud computing and server virtualization, which requires data centers with higher power capacity, density and efficiency; increasing criticality of information technology and data in the enterprise environment which requires data centers with higher reliability; and growing reliance by enterprises on outsourcing as a solution to the increasing complexity and cost of managing mission-critical IT infrastructure. We believe that, as a result of this strong demand and the challenges of sourcing, developing and operating new facilities that meet the required standard, there is a relative scarcity of high-performance data center capacity in China.</w:t>
      </w:r>
    </w:p>
    <w:p>
      <w:pPr>
        <w:spacing w:after="0" w:line="201" w:lineRule="exact"/>
        <w:rPr>
          <w:sz w:val="20"/>
          <w:szCs w:val="20"/>
          <w:color w:val="auto"/>
        </w:rPr>
      </w:pPr>
    </w:p>
    <w:p>
      <w:pPr>
        <w:ind w:left="240" w:right="60" w:firstLine="351"/>
        <w:spacing w:after="0" w:line="288" w:lineRule="auto"/>
        <w:rPr>
          <w:sz w:val="20"/>
          <w:szCs w:val="20"/>
          <w:color w:val="auto"/>
        </w:rPr>
      </w:pPr>
      <w:r>
        <w:rPr>
          <w:rFonts w:ascii="Arial" w:cs="Arial" w:eastAsia="Arial" w:hAnsi="Arial"/>
          <w:sz w:val="16"/>
          <w:szCs w:val="16"/>
          <w:color w:val="auto"/>
        </w:rPr>
        <w:t>Our portfolio of data centers and secured expansion capacity are strategically located to address this growing demand. We operate our data centers to service our customers predominantly in Shanghai, Beijing, Shenzhen, Guangzhou and Chengdu, the primary financial, commercial, industrial and communications hubs in each region of China. We have established and are developing our presence in Hong Kong which we believe is another important market for our customers. Our data centers are located in close proximity to the corporate headquarters and key operation centers of many large enterprises, providing convenient access for our customers. Furthermore, the extensive multi-carrier telecommunications networks in these markets enable our customers to enhance the performance and lower the cost of connectivity to our facilities. In addition to our presence in core markets, in 2018 we developed and now operate a data center campus in Hebei province, China, for one of our largest customers. Our management is considering potential strategic acquisitions of land use rights and developments of data center campuses in order to meet the demands of our customers.</w:t>
      </w:r>
    </w:p>
    <w:p>
      <w:pPr>
        <w:spacing w:after="0" w:line="178" w:lineRule="exact"/>
        <w:rPr>
          <w:sz w:val="20"/>
          <w:szCs w:val="20"/>
          <w:color w:val="auto"/>
        </w:rPr>
      </w:pPr>
    </w:p>
    <w:p>
      <w:pPr>
        <w:ind w:left="240" w:right="20" w:firstLine="351"/>
        <w:spacing w:after="0" w:line="268" w:lineRule="auto"/>
        <w:rPr>
          <w:sz w:val="20"/>
          <w:szCs w:val="20"/>
          <w:color w:val="auto"/>
        </w:rPr>
      </w:pPr>
      <w:r>
        <w:rPr>
          <w:rFonts w:ascii="Arial" w:cs="Arial" w:eastAsia="Arial" w:hAnsi="Arial"/>
          <w:sz w:val="18"/>
          <w:szCs w:val="18"/>
          <w:color w:val="auto"/>
        </w:rPr>
        <w:t>Our data centers are large-scale, highly reliable and highly efficient facilities that provide a flexible, modular and secure operating environment in which our customers can house, power and cool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40"/>
          </w:cols>
          <w:pgMar w:left="160" w:top="51" w:right="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970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1870" cy="597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00"/>
        <w:spacing w:after="0" w:line="256" w:lineRule="auto"/>
        <w:rPr>
          <w:sz w:val="20"/>
          <w:szCs w:val="20"/>
          <w:color w:val="auto"/>
        </w:rPr>
      </w:pPr>
      <w:r>
        <w:rPr>
          <w:rFonts w:ascii="Arial" w:cs="Arial" w:eastAsia="Arial" w:hAnsi="Arial"/>
          <w:sz w:val="18"/>
          <w:szCs w:val="18"/>
          <w:color w:val="auto"/>
        </w:rPr>
        <w:t>computer systems and networking equipment that support their mission-critical IT infrastructure. We install large power capacity and optimize power usage efficiency, which enables our customers to deploy their IT infrastructure more efficiently and reduce their operating and capital costs. As a result of our advanced data center design, high technical specifications and robust operating procedures, we are able to make service level commitments related to service availability and other key metrics that meet our customers' required standards.</w:t>
      </w:r>
    </w:p>
    <w:p>
      <w:pPr>
        <w:spacing w:after="0" w:line="197" w:lineRule="exact"/>
        <w:rPr>
          <w:sz w:val="20"/>
          <w:szCs w:val="20"/>
          <w:color w:val="auto"/>
        </w:rPr>
      </w:pPr>
    </w:p>
    <w:p>
      <w:pPr>
        <w:ind w:left="240" w:right="240" w:firstLine="348"/>
        <w:spacing w:after="0" w:line="294" w:lineRule="auto"/>
        <w:rPr>
          <w:sz w:val="20"/>
          <w:szCs w:val="20"/>
          <w:color w:val="auto"/>
        </w:rPr>
      </w:pPr>
      <w:r>
        <w:rPr>
          <w:rFonts w:ascii="Arial" w:cs="Arial" w:eastAsia="Arial" w:hAnsi="Arial"/>
          <w:sz w:val="16"/>
          <w:szCs w:val="16"/>
          <w:color w:val="auto"/>
        </w:rPr>
        <w:t>We currently serve approximately 590 customers, including cloud service providers and large Internet companies, a diverse community of financial institutions, telecommunications and IT service providers and large domestic private sector and multinational corporations, many of which are leaders in their respective industries. We host a number of the largest cloud service providers operating in China, including Aliyun, the cloud computing unit of Alibaba, which are present in several of our data centers. Contracts with our cloud service provider and large Internet customers generally have terms of three to ten years, while contracts with our financial institution and enterprise customers typically have terms of one to five years.</w:t>
      </w:r>
    </w:p>
    <w:p>
      <w:pPr>
        <w:spacing w:after="0" w:line="169" w:lineRule="exact"/>
        <w:rPr>
          <w:sz w:val="20"/>
          <w:szCs w:val="20"/>
          <w:color w:val="auto"/>
        </w:rPr>
      </w:pPr>
    </w:p>
    <w:p>
      <w:pPr>
        <w:ind w:left="240" w:right="240" w:firstLine="341"/>
        <w:spacing w:after="0" w:line="287" w:lineRule="auto"/>
        <w:rPr>
          <w:sz w:val="20"/>
          <w:szCs w:val="20"/>
          <w:color w:val="auto"/>
        </w:rPr>
      </w:pPr>
      <w:r>
        <w:rPr>
          <w:rFonts w:ascii="Arial" w:cs="Arial" w:eastAsia="Arial" w:hAnsi="Arial"/>
          <w:sz w:val="16"/>
          <w:szCs w:val="16"/>
          <w:color w:val="auto"/>
        </w:rPr>
        <w:t>As of December 31, 2018, we operated twenty-six self-developed data centers with an aggregate net floor area of 150,517 sqm in service. We also operated capacity at approximately eighteen third-party data centers with an aggregate net floor area of 9,839 sqm in service, which we lease on a wholesale basis and use to provide colocation and managed services to our customers. As of the same date, we had a further nine new self-developed data centers, and multiple phases of two existing data centers, which collectively have an aggregate net floor area of 65,201 sqm, under construction. In addition, we had an estimated aggregate developable net floor area of approximately 79,000 sqm held for future development and had entered into a memorandum of understanding for leasing of three data center shell buildings that we expect to provide us with additional net floor area of approximately 30,000 sqm. Our net revenue and results of operations are largely determined by the degree to which data center space is committed or pre-committed as well as its utilization. We had commitment rates of 89.0%, 91.8% and 94.9% as of December 31, 2016, 2017 and 2018, respectively. We had utilization rates of 60.8%, 60.9% and 67.6% as of December 31, 2016, 2017 and 2018, respectively. The difference between commitment rate and utilization rate is primarily attributable to customers who have entered into agreements but have not yet started to use revenue generating services.</w:t>
      </w:r>
    </w:p>
    <w:p>
      <w:pPr>
        <w:spacing w:after="0" w:line="176" w:lineRule="exact"/>
        <w:rPr>
          <w:sz w:val="20"/>
          <w:szCs w:val="20"/>
          <w:color w:val="auto"/>
        </w:rPr>
      </w:pPr>
    </w:p>
    <w:p>
      <w:pPr>
        <w:ind w:left="240" w:right="620" w:firstLine="348"/>
        <w:spacing w:after="0" w:line="294" w:lineRule="auto"/>
        <w:rPr>
          <w:sz w:val="20"/>
          <w:szCs w:val="20"/>
          <w:color w:val="auto"/>
        </w:rPr>
      </w:pPr>
      <w:r>
        <w:rPr>
          <w:rFonts w:ascii="Arial" w:cs="Arial" w:eastAsia="Arial" w:hAnsi="Arial"/>
          <w:sz w:val="16"/>
          <w:szCs w:val="16"/>
          <w:color w:val="auto"/>
        </w:rPr>
        <w:t>We have experienced significant growth in recent years. Our net revenue grew from RMB1,056.0 million in 2016 to RMB1,616.2 million in 2017, representing an increase of 53.1%, and increased to RMB2,792.1 million (US$406.1 million) in 2018, representing an increase of 72.8%. Our net loss increased from RMB276.4 million in 2016 to RMB326.9 million in 2017, and increased to RMB430.3 million (US$62.6 million) in 2018. Our adjusted EBITDA increased from RMB270.5 million in 2016 to RMB512.3 million in 2017, and further increased to RMB1,046.5 million (US$152.2 million) in 2018. As of December 31, 2017 and 2018, our accumulated deficit was RMB1,185.6 million and RMB1,615.1 million (US$234.9 million), respectively.</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the following strengths contribute to our success and differentiate us from our competitors: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180" w:type="dxa"/>
            <w:vAlign w:val="bottom"/>
          </w:tcPr>
          <w:p>
            <w:pPr>
              <w:ind w:left="780"/>
              <w:spacing w:after="0"/>
              <w:rPr>
                <w:sz w:val="20"/>
                <w:szCs w:val="20"/>
                <w:color w:val="auto"/>
              </w:rPr>
            </w:pPr>
            <w:r>
              <w:rPr>
                <w:rFonts w:ascii="Arial" w:cs="Arial" w:eastAsia="Arial" w:hAnsi="Arial"/>
                <w:sz w:val="18"/>
                <w:szCs w:val="18"/>
                <w:color w:val="auto"/>
              </w:rPr>
              <w:t>â€¢</w:t>
            </w:r>
          </w:p>
        </w:tc>
        <w:tc>
          <w:tcPr>
            <w:tcW w:w="10380" w:type="dxa"/>
            <w:vAlign w:val="bottom"/>
          </w:tcPr>
          <w:p>
            <w:pPr>
              <w:ind w:left="140"/>
              <w:spacing w:after="0"/>
              <w:rPr>
                <w:sz w:val="20"/>
                <w:szCs w:val="20"/>
                <w:color w:val="auto"/>
              </w:rPr>
            </w:pPr>
            <w:r>
              <w:rPr>
                <w:rFonts w:ascii="Arial" w:cs="Arial" w:eastAsia="Arial" w:hAnsi="Arial"/>
                <w:sz w:val="18"/>
                <w:szCs w:val="18"/>
                <w:color w:val="auto"/>
              </w:rPr>
              <w:t>large-scale, high-performance data centers strategically located in China's key markets;</w:t>
            </w:r>
          </w:p>
        </w:tc>
      </w:tr>
      <w:tr>
        <w:trPr>
          <w:trHeight w:val="445"/>
        </w:trPr>
        <w:tc>
          <w:tcPr>
            <w:tcW w:w="1180" w:type="dxa"/>
            <w:vAlign w:val="bottom"/>
          </w:tcPr>
          <w:p>
            <w:pPr>
              <w:ind w:left="780"/>
              <w:spacing w:after="0"/>
              <w:rPr>
                <w:sz w:val="20"/>
                <w:szCs w:val="20"/>
                <w:color w:val="auto"/>
              </w:rPr>
            </w:pPr>
            <w:r>
              <w:rPr>
                <w:rFonts w:ascii="Arial" w:cs="Arial" w:eastAsia="Arial" w:hAnsi="Arial"/>
                <w:sz w:val="18"/>
                <w:szCs w:val="18"/>
                <w:color w:val="auto"/>
              </w:rPr>
              <w:t>â€¢</w:t>
            </w:r>
          </w:p>
        </w:tc>
        <w:tc>
          <w:tcPr>
            <w:tcW w:w="10380" w:type="dxa"/>
            <w:vAlign w:val="bottom"/>
          </w:tcPr>
          <w:p>
            <w:pPr>
              <w:ind w:left="140"/>
              <w:spacing w:after="0"/>
              <w:rPr>
                <w:sz w:val="20"/>
                <w:szCs w:val="20"/>
                <w:color w:val="auto"/>
              </w:rPr>
            </w:pPr>
            <w:r>
              <w:rPr>
                <w:rFonts w:ascii="Arial" w:cs="Arial" w:eastAsia="Arial" w:hAnsi="Arial"/>
                <w:sz w:val="18"/>
                <w:szCs w:val="18"/>
                <w:color w:val="auto"/>
              </w:rPr>
              <w:t>first-mover with a proven track record and reputation for operational excellence;</w:t>
            </w:r>
          </w:p>
        </w:tc>
      </w:tr>
      <w:tr>
        <w:trPr>
          <w:trHeight w:val="445"/>
        </w:trPr>
        <w:tc>
          <w:tcPr>
            <w:tcW w:w="1180" w:type="dxa"/>
            <w:vAlign w:val="bottom"/>
          </w:tcPr>
          <w:p>
            <w:pPr>
              <w:ind w:left="780"/>
              <w:spacing w:after="0"/>
              <w:rPr>
                <w:sz w:val="20"/>
                <w:szCs w:val="20"/>
                <w:color w:val="auto"/>
              </w:rPr>
            </w:pPr>
            <w:r>
              <w:rPr>
                <w:rFonts w:ascii="Arial" w:cs="Arial" w:eastAsia="Arial" w:hAnsi="Arial"/>
                <w:sz w:val="18"/>
                <w:szCs w:val="18"/>
                <w:color w:val="auto"/>
              </w:rPr>
              <w:t>â€¢</w:t>
            </w:r>
          </w:p>
        </w:tc>
        <w:tc>
          <w:tcPr>
            <w:tcW w:w="10380" w:type="dxa"/>
            <w:vAlign w:val="bottom"/>
          </w:tcPr>
          <w:p>
            <w:pPr>
              <w:ind w:left="140"/>
              <w:spacing w:after="0"/>
              <w:rPr>
                <w:sz w:val="20"/>
                <w:szCs w:val="20"/>
                <w:color w:val="auto"/>
              </w:rPr>
            </w:pPr>
            <w:r>
              <w:rPr>
                <w:rFonts w:ascii="Arial" w:cs="Arial" w:eastAsia="Arial" w:hAnsi="Arial"/>
                <w:sz w:val="18"/>
                <w:szCs w:val="18"/>
                <w:color w:val="auto"/>
              </w:rPr>
              <w:t>well-established and rapidly expanding relationships with large and fast growing customers;</w:t>
            </w:r>
          </w:p>
        </w:tc>
      </w:tr>
      <w:tr>
        <w:trPr>
          <w:trHeight w:val="459"/>
        </w:trPr>
        <w:tc>
          <w:tcPr>
            <w:tcW w:w="1180" w:type="dxa"/>
            <w:vAlign w:val="bottom"/>
          </w:tcPr>
          <w:p>
            <w:pPr>
              <w:ind w:left="780"/>
              <w:spacing w:after="0"/>
              <w:rPr>
                <w:sz w:val="20"/>
                <w:szCs w:val="20"/>
                <w:color w:val="auto"/>
              </w:rPr>
            </w:pPr>
            <w:r>
              <w:rPr>
                <w:rFonts w:ascii="Arial" w:cs="Arial" w:eastAsia="Arial" w:hAnsi="Arial"/>
                <w:sz w:val="18"/>
                <w:szCs w:val="18"/>
                <w:color w:val="auto"/>
              </w:rPr>
              <w:t>â€¢</w:t>
            </w:r>
          </w:p>
        </w:tc>
        <w:tc>
          <w:tcPr>
            <w:tcW w:w="10380" w:type="dxa"/>
            <w:vAlign w:val="bottom"/>
          </w:tcPr>
          <w:p>
            <w:pPr>
              <w:ind w:left="140"/>
              <w:spacing w:after="0"/>
              <w:rPr>
                <w:sz w:val="20"/>
                <w:szCs w:val="20"/>
                <w:color w:val="auto"/>
              </w:rPr>
            </w:pPr>
            <w:r>
              <w:rPr>
                <w:rFonts w:ascii="Arial" w:cs="Arial" w:eastAsia="Arial" w:hAnsi="Arial"/>
                <w:sz w:val="18"/>
                <w:szCs w:val="18"/>
                <w:color w:val="auto"/>
              </w:rPr>
              <w:t>large secured expansion capacity and proven ability to source and develop additional data centers;</w:t>
            </w:r>
          </w:p>
        </w:tc>
      </w:tr>
      <w:tr>
        <w:trPr>
          <w:trHeight w:val="431"/>
        </w:trPr>
        <w:tc>
          <w:tcPr>
            <w:tcW w:w="118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r>
        <w:trPr>
          <w:trHeight w:val="427"/>
        </w:trPr>
        <w:tc>
          <w:tcPr>
            <w:tcW w:w="1180" w:type="dxa"/>
            <w:vAlign w:val="bottom"/>
          </w:tcPr>
          <w:p>
            <w:pPr>
              <w:spacing w:after="0"/>
              <w:rPr>
                <w:sz w:val="24"/>
                <w:szCs w:val="24"/>
                <w:color w:val="auto"/>
              </w:rPr>
            </w:pPr>
          </w:p>
        </w:tc>
        <w:tc>
          <w:tcPr>
            <w:tcW w:w="10380" w:type="dxa"/>
            <w:vAlign w:val="bottom"/>
          </w:tcPr>
          <w:p>
            <w:pPr>
              <w:ind w:left="4480"/>
              <w:spacing w:after="0"/>
              <w:rPr>
                <w:sz w:val="20"/>
                <w:szCs w:val="20"/>
                <w:color w:val="auto"/>
              </w:rPr>
            </w:pPr>
            <w:r>
              <w:rPr>
                <w:rFonts w:ascii="Arial" w:cs="Arial" w:eastAsia="Arial" w:hAnsi="Arial"/>
                <w:sz w:val="18"/>
                <w:szCs w:val="18"/>
                <w:color w:val="auto"/>
              </w:rPr>
              <w:t>S-5</w:t>
            </w:r>
          </w:p>
        </w:tc>
      </w:tr>
      <w:tr>
        <w:trPr>
          <w:trHeight w:val="228"/>
        </w:trPr>
        <w:tc>
          <w:tcPr>
            <w:tcW w:w="118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7505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187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unique value proposition in managed cloud services that complements our core colocation services; and</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visionary and experienced management team supported by sophisticated strategic investors.</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ind w:left="240" w:right="200" w:firstLine="348"/>
        <w:spacing w:after="0" w:line="268" w:lineRule="auto"/>
        <w:rPr>
          <w:sz w:val="20"/>
          <w:szCs w:val="20"/>
          <w:color w:val="auto"/>
        </w:rPr>
      </w:pPr>
      <w:r>
        <w:rPr>
          <w:rFonts w:ascii="Arial" w:cs="Arial" w:eastAsia="Arial" w:hAnsi="Arial"/>
          <w:sz w:val="18"/>
          <w:szCs w:val="18"/>
          <w:color w:val="auto"/>
        </w:rPr>
        <w:t>We aim to be the hub for cloud computing in China and to capitalize on the attractive growth opportunities in China's data center services market. We intend to achieve our goal through the following strategies:</w:t>
      </w:r>
    </w:p>
    <w:p>
      <w:pPr>
        <w:spacing w:after="0" w:line="186"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expand our unique portfolio of strategically located high-performance data centers;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pursue balanced sourcing strategy to maintain continuous competitive supply;</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capitalize on rising adoption of cloud computing and the digital economy in China;</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increase market share by attracting new customers and leveraging existing relationships with cloud customers and enterprise customers to</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build sticky, interconnected ecosystems within our data centers; and</w:t>
      </w:r>
    </w:p>
    <w:p>
      <w:pPr>
        <w:spacing w:after="0" w:line="21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continue to focus relentlessly on operational excellence and capital efficiency.</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Challenges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business and successful execution of our strategies are subject to certain challenges, risks and uncertainties including:</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 potential slowdown in the demand for data center resources or managed services;</w:t>
      </w:r>
    </w:p>
    <w:p>
      <w:pPr>
        <w:spacing w:after="0" w:line="225"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our ability to manage the growth of our operations and successfully implement our expansion plan;</w:t>
      </w:r>
    </w:p>
    <w:p>
      <w:pPr>
        <w:spacing w:after="0" w:line="239" w:lineRule="exact"/>
        <w:rPr>
          <w:sz w:val="20"/>
          <w:szCs w:val="20"/>
          <w:color w:val="auto"/>
        </w:rPr>
      </w:pPr>
    </w:p>
    <w:p>
      <w:pPr>
        <w:ind w:left="1320" w:right="620" w:hanging="539"/>
        <w:spacing w:after="0" w:line="268" w:lineRule="auto"/>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having a long selling and implementation cycle for our services that requires us to make significant capital expenditures and resource commitments prior to recognizing revenue for those services;</w:t>
      </w:r>
    </w:p>
    <w:p>
      <w:pPr>
        <w:sectPr>
          <w:pgSz w:w="11900" w:h="16838" w:orient="portrait"/>
          <w:cols w:equalWidth="0" w:num="1">
            <w:col w:w="11300"/>
          </w:cols>
          <w:pgMar w:left="160" w:top="51" w:right="439" w:bottom="1440" w:gutter="0" w:footer="0" w:header="0"/>
        </w:sectPr>
      </w:pPr>
    </w:p>
    <w:p>
      <w:pPr>
        <w:spacing w:after="0" w:line="21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expand our service offerings;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 long selling cycle for our services, which typically requires significant investment of capital, human resources and time by both our customers and us;</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data center business is capital-intensive, and we expect our capacity to generate capital in the short term will be insufficient to meet our anticipated capital requirements;</w:t>
      </w:r>
    </w:p>
    <w:p>
      <w:pPr>
        <w:spacing w:after="0" w:line="199"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color w:val="auto"/>
        </w:rPr>
        <w:t>our substantial level of indebtedness could adversely affect our ability to raise additional capital to fund our operations, expose us to interest rate risk to the extent of our variable rate debt and prevent us from meeting our obligations under our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possibility that we will continue to incur net losses;</w:t>
      </w:r>
    </w:p>
    <w:p>
      <w:pPr>
        <w:spacing w:after="0" w:line="252" w:lineRule="exact"/>
        <w:rPr>
          <w:sz w:val="20"/>
          <w:szCs w:val="20"/>
          <w:color w:val="auto"/>
        </w:rPr>
      </w:pPr>
    </w:p>
    <w:p>
      <w:pPr>
        <w:ind w:right="2120"/>
        <w:spacing w:after="0" w:line="533" w:lineRule="auto"/>
        <w:rPr>
          <w:sz w:val="20"/>
          <w:szCs w:val="20"/>
          <w:color w:val="auto"/>
        </w:rPr>
      </w:pPr>
      <w:r>
        <w:rPr>
          <w:rFonts w:ascii="Arial" w:cs="Arial" w:eastAsia="Arial" w:hAnsi="Arial"/>
          <w:sz w:val="18"/>
          <w:szCs w:val="18"/>
          <w:color w:val="auto"/>
        </w:rPr>
        <w:t>the potential for a significant or prolonged failure in the data center facilities we operate or services we provide; our ability to attract new customers and retain existing customers; and our ability to compete effectively.</w:t>
      </w:r>
    </w:p>
    <w:p>
      <w:pPr>
        <w:spacing w:after="0" w:line="200" w:lineRule="exact"/>
        <w:rPr>
          <w:sz w:val="20"/>
          <w:szCs w:val="20"/>
          <w:color w:val="auto"/>
        </w:rPr>
      </w:pPr>
    </w:p>
    <w:p>
      <w:pPr>
        <w:sectPr>
          <w:pgSz w:w="11900" w:h="16838" w:orient="portrait"/>
          <w:cols w:equalWidth="0" w:num="2">
            <w:col w:w="1040" w:space="280"/>
            <w:col w:w="9980"/>
          </w:cols>
          <w:pgMar w:left="160" w:top="51" w:right="439" w:bottom="1440" w:gutter="0" w:footer="0" w:header="0"/>
          <w:type w:val="continuous"/>
        </w:sect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00"/>
          </w:cols>
          <w:pgMar w:left="160" w:top="51" w:right="4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6827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1870" cy="682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addition, we face risks and uncertainties related to our corporate structure and regulatory environment in China, including:</w:t>
      </w:r>
    </w:p>
    <w:p>
      <w:pPr>
        <w:sectPr>
          <w:pgSz w:w="11900" w:h="16838" w:orient="portrait"/>
          <w:cols w:equalWidth="0" w:num="1">
            <w:col w:w="11240"/>
          </w:cols>
          <w:pgMar w:left="160" w:top="51" w:right="499" w:bottom="1440" w:gutter="0" w:footer="0" w:header="0"/>
        </w:sectPr>
      </w:pPr>
    </w:p>
    <w:p>
      <w:pPr>
        <w:spacing w:after="0" w:line="24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regulations on foreign investment restriction and value added telecommunications services, according to which we may have been non-compliant in the past;</w:t>
      </w:r>
    </w:p>
    <w:p>
      <w:pPr>
        <w:spacing w:after="0" w:line="199"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risks associated with our control over our consolidated variable interest entities, or VIEs, in China, which is based on contractual arrangements rather than equity ownership;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political and economic policies of the PRC government.</w:t>
      </w:r>
    </w:p>
    <w:p>
      <w:pPr>
        <w:spacing w:after="0" w:line="200" w:lineRule="exact"/>
        <w:rPr>
          <w:sz w:val="20"/>
          <w:szCs w:val="20"/>
          <w:color w:val="auto"/>
        </w:rPr>
      </w:pPr>
    </w:p>
    <w:p>
      <w:pPr>
        <w:sectPr>
          <w:pgSz w:w="11900" w:h="16838" w:orient="portrait"/>
          <w:cols w:equalWidth="0" w:num="2">
            <w:col w:w="1040" w:space="280"/>
            <w:col w:w="9920"/>
          </w:cols>
          <w:pgMar w:left="160" w:top="51" w:right="499" w:bottom="1440" w:gutter="0" w:footer="0" w:header="0"/>
          <w:type w:val="continuous"/>
        </w:sectPr>
      </w:pPr>
    </w:p>
    <w:p>
      <w:pPr>
        <w:spacing w:after="0" w:line="25" w:lineRule="exact"/>
        <w:rPr>
          <w:sz w:val="20"/>
          <w:szCs w:val="20"/>
          <w:color w:val="auto"/>
        </w:rPr>
      </w:pPr>
    </w:p>
    <w:p>
      <w:pPr>
        <w:ind w:left="240" w:right="100" w:firstLine="348"/>
        <w:spacing w:after="0" w:line="259" w:lineRule="auto"/>
        <w:rPr>
          <w:sz w:val="20"/>
          <w:szCs w:val="20"/>
          <w:color w:val="auto"/>
        </w:rPr>
      </w:pPr>
      <w:r>
        <w:rPr>
          <w:rFonts w:ascii="Arial" w:cs="Arial" w:eastAsia="Arial" w:hAnsi="Arial"/>
          <w:sz w:val="18"/>
          <w:szCs w:val="18"/>
          <w:color w:val="auto"/>
        </w:rPr>
        <w:t>We also face other risks and uncertainties that may materially affect our business, financial conditions, results of operations and prospects. You should consider the risks discussed in "Risk Factors" and included, or incorporated by reference, elsewhere in this prospectus supplement before investing in our ADSs.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Quarterly Key Performance Indicators</w:t>
      </w:r>
    </w:p>
    <w:p>
      <w:pPr>
        <w:spacing w:after="0" w:line="231"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Our net revenue and results of operations are largely determined by the amount of data center area in service, the degree to which data center space is committed or pre-committed as well as its utilization. The following table sets forth our key performance indicators on a quarterly basis in 2017 and 2018, starting from the three months ended March 31, 2017 and ending with the three months ended December 31, 2018.</w:t>
      </w:r>
    </w:p>
    <w:p>
      <w:pPr>
        <w:spacing w:after="0" w:line="155"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As of</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As of</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As of</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As of</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As of</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As of</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As of</w:t>
            </w: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March 31,</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June 30,</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September 30,</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March 31,</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June 30,</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September 30,</w:t>
            </w: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1"/>
        </w:trPr>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97"/>
              </w:rPr>
              <w:t>(Sqm, %)</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89"/>
              </w:rPr>
              <w:t>2017</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gridSpan w:val="3"/>
            <w:vMerge w:val="restart"/>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61,092</w:t>
            </w:r>
          </w:p>
        </w:tc>
        <w:tc>
          <w:tcPr>
            <w:tcW w:w="820" w:type="dxa"/>
            <w:vAlign w:val="bottom"/>
            <w:gridSpan w:val="2"/>
            <w:vMerge w:val="restart"/>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71,577</w:t>
            </w:r>
          </w:p>
        </w:tc>
        <w:tc>
          <w:tcPr>
            <w:tcW w:w="1160" w:type="dxa"/>
            <w:vAlign w:val="bottom"/>
            <w:gridSpan w:val="2"/>
            <w:vMerge w:val="restart"/>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77,832</w:t>
            </w:r>
          </w:p>
        </w:tc>
        <w:tc>
          <w:tcPr>
            <w:tcW w:w="1120" w:type="dxa"/>
            <w:vAlign w:val="bottom"/>
            <w:gridSpan w:val="2"/>
            <w:vMerge w:val="restart"/>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101,258</w:t>
            </w:r>
          </w:p>
        </w:tc>
        <w:tc>
          <w:tcPr>
            <w:tcW w:w="940" w:type="dxa"/>
            <w:vAlign w:val="bottom"/>
            <w:gridSpan w:val="2"/>
            <w:vMerge w:val="restart"/>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103,475</w:t>
            </w:r>
          </w:p>
        </w:tc>
        <w:tc>
          <w:tcPr>
            <w:tcW w:w="820" w:type="dxa"/>
            <w:vAlign w:val="bottom"/>
            <w:gridSpan w:val="2"/>
            <w:vMerge w:val="restart"/>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127,984</w:t>
            </w:r>
          </w:p>
        </w:tc>
        <w:tc>
          <w:tcPr>
            <w:tcW w:w="1160" w:type="dxa"/>
            <w:vAlign w:val="bottom"/>
            <w:gridSpan w:val="2"/>
            <w:vMerge w:val="restart"/>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147,342</w:t>
            </w:r>
          </w:p>
        </w:tc>
        <w:tc>
          <w:tcPr>
            <w:tcW w:w="1100" w:type="dxa"/>
            <w:vAlign w:val="bottom"/>
            <w:gridSpan w:val="2"/>
            <w:vMerge w:val="restart"/>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160,356</w:t>
            </w:r>
          </w:p>
        </w:tc>
        <w:tc>
          <w:tcPr>
            <w:tcW w:w="0" w:type="dxa"/>
            <w:vAlign w:val="bottom"/>
          </w:tcPr>
          <w:p>
            <w:pPr>
              <w:spacing w:after="0" w:line="20" w:lineRule="exact"/>
              <w:rPr>
                <w:sz w:val="1"/>
                <w:szCs w:val="1"/>
                <w:color w:val="auto"/>
              </w:rPr>
            </w:pPr>
          </w:p>
        </w:tc>
      </w:tr>
      <w:tr>
        <w:trPr>
          <w:trHeight w:val="122"/>
        </w:trPr>
        <w:tc>
          <w:tcPr>
            <w:tcW w:w="9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rPr>
              <w:t>Area in service</w:t>
            </w:r>
          </w:p>
        </w:tc>
        <w:tc>
          <w:tcPr>
            <w:tcW w:w="880" w:type="dxa"/>
            <w:vAlign w:val="bottom"/>
            <w:gridSpan w:val="3"/>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Area under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80" w:type="dxa"/>
            <w:vAlign w:val="bottom"/>
            <w:gridSpan w:val="2"/>
          </w:tcPr>
          <w:p>
            <w:pPr>
              <w:ind w:left="160"/>
              <w:spacing w:after="0"/>
              <w:rPr>
                <w:sz w:val="20"/>
                <w:szCs w:val="20"/>
                <w:color w:val="auto"/>
              </w:rPr>
            </w:pPr>
            <w:r>
              <w:rPr>
                <w:rFonts w:ascii="Arial" w:cs="Arial" w:eastAsia="Arial" w:hAnsi="Arial"/>
                <w:sz w:val="13"/>
                <w:szCs w:val="13"/>
                <w:color w:val="auto"/>
              </w:rPr>
              <w:t>construction</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35,055</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38,028</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37,478</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24,505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40,357</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41,023</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43,718</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65,201</w:t>
            </w:r>
          </w:p>
        </w:tc>
        <w:tc>
          <w:tcPr>
            <w:tcW w:w="0" w:type="dxa"/>
            <w:vAlign w:val="bottom"/>
          </w:tcPr>
          <w:p>
            <w:pPr>
              <w:spacing w:after="0"/>
              <w:rPr>
                <w:sz w:val="1"/>
                <w:szCs w:val="1"/>
                <w:color w:val="auto"/>
              </w:rPr>
            </w:pPr>
          </w:p>
        </w:tc>
      </w:tr>
      <w:tr>
        <w:trPr>
          <w:trHeight w:val="138"/>
        </w:trPr>
        <w:tc>
          <w:tcPr>
            <w:tcW w:w="9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Area</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committed</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55,010(1)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65,994(1)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69,880(1)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92,961(1)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97,068(1)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122,306(1)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141,931(1)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152,163(1)</w:t>
            </w:r>
          </w:p>
        </w:tc>
        <w:tc>
          <w:tcPr>
            <w:tcW w:w="0" w:type="dxa"/>
            <w:vAlign w:val="bottom"/>
          </w:tcPr>
          <w:p>
            <w:pPr>
              <w:spacing w:after="0"/>
              <w:rPr>
                <w:sz w:val="1"/>
                <w:szCs w:val="1"/>
                <w:color w:val="auto"/>
              </w:rPr>
            </w:pPr>
          </w:p>
        </w:tc>
      </w:tr>
      <w:tr>
        <w:trPr>
          <w:trHeight w:val="138"/>
        </w:trPr>
        <w:tc>
          <w:tcPr>
            <w:tcW w:w="9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Area pre-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80" w:type="dxa"/>
            <w:vAlign w:val="bottom"/>
            <w:gridSpan w:val="2"/>
          </w:tcPr>
          <w:p>
            <w:pPr>
              <w:ind w:left="160"/>
              <w:spacing w:after="0"/>
              <w:rPr>
                <w:sz w:val="20"/>
                <w:szCs w:val="20"/>
                <w:color w:val="auto"/>
              </w:rPr>
            </w:pPr>
            <w:r>
              <w:rPr>
                <w:rFonts w:ascii="Arial" w:cs="Arial" w:eastAsia="Arial" w:hAnsi="Arial"/>
                <w:sz w:val="13"/>
                <w:szCs w:val="13"/>
                <w:color w:val="auto"/>
              </w:rPr>
              <w:t>committed</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13,303(1)</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10,547(1)</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12,970(1)</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9,567(1)</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25,751(1)</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20,759(1)</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19,868(1)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31,580(1)</w:t>
            </w:r>
          </w:p>
        </w:tc>
        <w:tc>
          <w:tcPr>
            <w:tcW w:w="0" w:type="dxa"/>
            <w:vAlign w:val="bottom"/>
          </w:tcPr>
          <w:p>
            <w:pPr>
              <w:spacing w:after="0"/>
              <w:rPr>
                <w:sz w:val="1"/>
                <w:szCs w:val="1"/>
                <w:color w:val="auto"/>
              </w:rPr>
            </w:pPr>
          </w:p>
        </w:tc>
      </w:tr>
      <w:tr>
        <w:trPr>
          <w:trHeight w:val="138"/>
        </w:trPr>
        <w:tc>
          <w:tcPr>
            <w:tcW w:w="9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Total area</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committed</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68,313(1)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76,541(1)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82,850(1)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102,528(1)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122,819(1)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143,065(1)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161,799(1)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183,743(1)</w:t>
            </w:r>
          </w:p>
        </w:tc>
        <w:tc>
          <w:tcPr>
            <w:tcW w:w="0" w:type="dxa"/>
            <w:vAlign w:val="bottom"/>
          </w:tcPr>
          <w:p>
            <w:pPr>
              <w:spacing w:after="0"/>
              <w:rPr>
                <w:sz w:val="1"/>
                <w:szCs w:val="1"/>
                <w:color w:val="auto"/>
              </w:rPr>
            </w:pPr>
          </w:p>
        </w:tc>
      </w:tr>
      <w:tr>
        <w:trPr>
          <w:trHeight w:val="138"/>
        </w:trPr>
        <w:tc>
          <w:tcPr>
            <w:tcW w:w="9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Commitment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80" w:type="dxa"/>
            <w:vAlign w:val="bottom"/>
            <w:gridSpan w:val="2"/>
          </w:tcPr>
          <w:p>
            <w:pPr>
              <w:ind w:left="160"/>
              <w:spacing w:after="0"/>
              <w:rPr>
                <w:sz w:val="20"/>
                <w:szCs w:val="20"/>
                <w:color w:val="auto"/>
              </w:rPr>
            </w:pPr>
            <w:r>
              <w:rPr>
                <w:rFonts w:ascii="Arial" w:cs="Arial" w:eastAsia="Arial" w:hAnsi="Arial"/>
                <w:sz w:val="13"/>
                <w:szCs w:val="13"/>
                <w:color w:val="auto"/>
              </w:rPr>
              <w:t>rate</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90.0%</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92.2%</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89.8%</w:t>
            </w: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91.8%</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93.8%</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95.6%</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96.3%</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38"/>
        </w:trPr>
        <w:tc>
          <w:tcPr>
            <w:tcW w:w="9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Pre-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commitment</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rate</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37.9%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48"/>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Area utilized</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37,898</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42,470</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50,579</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61,713</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66,905</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86,665</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100,679</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108,326</w:t>
            </w:r>
          </w:p>
        </w:tc>
        <w:tc>
          <w:tcPr>
            <w:tcW w:w="0" w:type="dxa"/>
            <w:vAlign w:val="bottom"/>
          </w:tcPr>
          <w:p>
            <w:pPr>
              <w:spacing w:after="0"/>
              <w:rPr>
                <w:sz w:val="1"/>
                <w:szCs w:val="1"/>
                <w:color w:val="auto"/>
              </w:rPr>
            </w:pPr>
          </w:p>
        </w:tc>
      </w:tr>
      <w:tr>
        <w:trPr>
          <w:trHeight w:val="148"/>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Utilization rate</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62.0%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900" w:hanging="549"/>
        <w:spacing w:after="0"/>
        <w:tabs>
          <w:tab w:leader="none" w:pos="19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data center area for which we have entered into non-binding agreements or letters of intent with, or have received other confirmations from, certain customers.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On March 13, 2019, an affiliate of Ping An Overseas Holdings agreed to make a US$150 million equity strategic investment in us in the form of convertible preferred shares, in reliance upon the exemption from registration provided by Regulation S under the Securities Act. During the first eight years from their issuance date, the convertible preferred shares accrue a minimum 5.0% per annum dividend, payable quarterly in arrears, in cash or in kind in the form of additional convertible preferred shares, at our option. As of the eighth anniversary of the issuance date, the convertible preferred shares accrue a 7.0% per annum minimum dividend, payable quarterly in arrears, in cash only, which dividend rate will further increase by 50 basis points per quarter thereafter for so long as any convertible preferred shares remain outstanding. The preferred shares are convertible into our Class A ordinary shares at the option of their holder at a conversion rate corresponding to a conversion price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240"/>
          </w:cols>
          <w:pgMar w:left="160" w:top="51" w:right="4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10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1870" cy="510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spacing w:after="0" w:line="291" w:lineRule="auto"/>
        <w:rPr>
          <w:sz w:val="20"/>
          <w:szCs w:val="20"/>
          <w:color w:val="auto"/>
        </w:rPr>
      </w:pPr>
      <w:r>
        <w:rPr>
          <w:rFonts w:ascii="Arial" w:cs="Arial" w:eastAsia="Arial" w:hAnsi="Arial"/>
          <w:sz w:val="16"/>
          <w:szCs w:val="16"/>
          <w:color w:val="auto"/>
        </w:rPr>
        <w:t>of US$35.60 per ADS, representing a premium of 13.3% to the volume weighted average price of our ADSs for the 30 trading days immediately preceding the date of signing the definitive agreement, subject to customary anti-dilution adjustments. We will have the right to trigger a mandatory conversion at our election, beginning on March 15, 2022, provided certain conditions are met, including our Class A ordinary shares achieving a specified price threshold of 150% of the conversion price for a specified period. In addition, for so long as it maintains its shareholding at or above a specified percentage threshold, Ping An Overseas Holdings will have the right to designate one non-voting observer to attend any meetings of our board of directors. See "Share Ownership of Directors, Officers and Principal Shareholders" for more information.</w:t>
      </w:r>
    </w:p>
    <w:p>
      <w:pPr>
        <w:spacing w:after="0" w:line="174" w:lineRule="exact"/>
        <w:rPr>
          <w:sz w:val="20"/>
          <w:szCs w:val="20"/>
          <w:color w:val="auto"/>
        </w:rPr>
      </w:pPr>
    </w:p>
    <w:p>
      <w:pPr>
        <w:ind w:left="240" w:firstLine="348"/>
        <w:spacing w:after="0" w:line="254" w:lineRule="auto"/>
        <w:rPr>
          <w:sz w:val="20"/>
          <w:szCs w:val="20"/>
          <w:color w:val="auto"/>
        </w:rPr>
      </w:pPr>
      <w:r>
        <w:rPr>
          <w:rFonts w:ascii="Arial" w:cs="Arial" w:eastAsia="Arial" w:hAnsi="Arial"/>
          <w:sz w:val="18"/>
          <w:szCs w:val="18"/>
          <w:color w:val="auto"/>
        </w:rPr>
        <w:t>We intend to use the net proceeds from the Concurrent Private Convertible Preferred Offering for the development and acquisition of additional data centers and for general corporate purposes. J.P. Morgan Securities LLC will serve as placement agent for the Concurrent Private Convertible Preferred Offering. The consummation of the Concurrent Private Convertible Preferred Offering is contingent on the satisfaction of certain customary conditions, but is not contingent on the consummation of this offering. The consummation of this offering is not contingent on the consummation of the Concurrent Private Convertible Preferred Offering.</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320" w:firstLine="351"/>
        <w:spacing w:after="0" w:line="323" w:lineRule="auto"/>
        <w:rPr>
          <w:sz w:val="20"/>
          <w:szCs w:val="20"/>
          <w:color w:val="auto"/>
        </w:rPr>
      </w:pPr>
      <w:r>
        <w:rPr>
          <w:rFonts w:ascii="Arial" w:cs="Arial" w:eastAsia="Arial" w:hAnsi="Arial"/>
          <w:sz w:val="15"/>
          <w:szCs w:val="15"/>
          <w:color w:val="auto"/>
        </w:rPr>
        <w:t>Our principal executive offices are located at 2/F Tower 2, Youyou Century Place, 428 South Yanggao Road, Pudong, Shanghai 200127, People's Republic of China. Our telephone number at this address is +86-21-2033-0303. Our registered office in the Cayman Islands is located at the offices of Conyers Trust Company (Cayman) Limited, Cricket Square, Hutchins Drive, P.O. Box 2681, Grand Cayman, KY1-1111, Cayman Islands. Our telephone number at this address is +1 (345) 949 1040. We also have six regional offices in Suzhou, Beijing, Chengdu, Shenzhen, Guangzhou and Hong Kong.</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Investors should submit any inquiries to the address and telephone number of our principal executive offices set forth above.</w:t>
      </w:r>
    </w:p>
    <w:p>
      <w:pPr>
        <w:spacing w:after="0" w:line="225" w:lineRule="exact"/>
        <w:rPr>
          <w:sz w:val="20"/>
          <w:szCs w:val="20"/>
          <w:color w:val="auto"/>
        </w:rPr>
      </w:pPr>
    </w:p>
    <w:p>
      <w:pPr>
        <w:ind w:left="240" w:right="320" w:firstLine="351"/>
        <w:spacing w:after="0" w:line="331" w:lineRule="auto"/>
        <w:rPr>
          <w:sz w:val="20"/>
          <w:szCs w:val="20"/>
          <w:color w:val="auto"/>
        </w:rPr>
      </w:pPr>
      <w:r>
        <w:rPr>
          <w:rFonts w:ascii="Arial" w:cs="Arial" w:eastAsia="Arial" w:hAnsi="Arial"/>
          <w:sz w:val="16"/>
          <w:szCs w:val="16"/>
          <w:color w:val="auto"/>
        </w:rPr>
        <w:t>Our main website is www.gds-services.com, and the information contained on this website is not a part of this prospectus supplement. Our agent for service of process in the United States is Law Debenture Corporate Services Inc. located at 801 2nd Avenue, Suite 403, New York, NY 10017.</w:t>
      </w:r>
    </w:p>
    <w:p>
      <w:pPr>
        <w:spacing w:after="0" w:line="141" w:lineRule="exact"/>
        <w:rPr>
          <w:sz w:val="20"/>
          <w:szCs w:val="20"/>
          <w:color w:val="auto"/>
        </w:rPr>
      </w:pPr>
    </w:p>
    <w:p>
      <w:pPr>
        <w:ind w:left="240" w:right="40"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500" w:type="dxa"/>
            <w:vAlign w:val="bottom"/>
            <w:tcBorders>
              <w:top w:val="single" w:sz="8" w:color="auto"/>
              <w:left w:val="single" w:sz="8" w:color="auto"/>
            </w:tcBorders>
          </w:tcPr>
          <w:p>
            <w:pPr>
              <w:spacing w:after="0"/>
              <w:rPr>
                <w:sz w:val="24"/>
                <w:szCs w:val="24"/>
                <w:color w:val="auto"/>
              </w:rPr>
            </w:pPr>
          </w:p>
        </w:tc>
        <w:tc>
          <w:tcPr>
            <w:tcW w:w="9060" w:type="dxa"/>
            <w:vAlign w:val="bottom"/>
            <w:tcBorders>
              <w:top w:val="single" w:sz="8" w:color="auto"/>
              <w:right w:val="single" w:sz="8" w:color="auto"/>
            </w:tcBorders>
          </w:tcPr>
          <w:p>
            <w:pPr>
              <w:ind w:left="26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Offering price</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US$33.50 per ADS.</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ADSs offered</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11,940,299 ADSs (or 13,731,343 ADSs if the underwriters' option to purchase additional ADSs is exercised</w:t>
            </w:r>
          </w:p>
        </w:tc>
      </w:tr>
      <w:tr>
        <w:trPr>
          <w:trHeight w:val="222"/>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by us</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full). We will receive all of the net proceeds from this offering.</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ADSs</w:t>
            </w:r>
          </w:p>
        </w:tc>
        <w:tc>
          <w:tcPr>
            <w:tcW w:w="9060" w:type="dxa"/>
            <w:vAlign w:val="bottom"/>
            <w:tcBorders>
              <w:right w:val="single" w:sz="8" w:color="auto"/>
            </w:tcBorders>
          </w:tcPr>
          <w:p>
            <w:pPr>
              <w:spacing w:after="0"/>
              <w:rPr>
                <w:sz w:val="24"/>
                <w:szCs w:val="24"/>
                <w:color w:val="auto"/>
              </w:rPr>
            </w:pP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outstanding</w:t>
            </w:r>
          </w:p>
        </w:tc>
        <w:tc>
          <w:tcPr>
            <w:tcW w:w="906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w w:val="97"/>
              </w:rPr>
              <w:t>immediately</w:t>
            </w:r>
          </w:p>
        </w:tc>
        <w:tc>
          <w:tcPr>
            <w:tcW w:w="906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after this</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71,517,557 ADSs (or 73,308,601 ADSs if the underwriters' option to purchase additional ADSs is exercised</w:t>
            </w:r>
          </w:p>
        </w:tc>
      </w:tr>
      <w:tr>
        <w:trPr>
          <w:trHeight w:val="222"/>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offering</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full).</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The ADSs</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 ADS represents eight of our Class A ordinary shares. See "Description of American Depositary</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 in the accompanying prospectus.</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w w:val="99"/>
              </w:rPr>
              <w:t>Depositary for</w:t>
            </w:r>
          </w:p>
        </w:tc>
        <w:tc>
          <w:tcPr>
            <w:tcW w:w="9060" w:type="dxa"/>
            <w:vAlign w:val="bottom"/>
            <w:tcBorders>
              <w:right w:val="single" w:sz="8" w:color="auto"/>
            </w:tcBorders>
          </w:tcPr>
          <w:p>
            <w:pPr>
              <w:spacing w:after="0"/>
              <w:rPr>
                <w:sz w:val="24"/>
                <w:szCs w:val="24"/>
                <w:color w:val="auto"/>
              </w:rPr>
            </w:pPr>
          </w:p>
        </w:tc>
      </w:tr>
      <w:tr>
        <w:trPr>
          <w:trHeight w:val="222"/>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the ADSs</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JPMorgan Chase Bank, N.A.</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Ordinary</w:t>
            </w:r>
          </w:p>
        </w:tc>
        <w:tc>
          <w:tcPr>
            <w:tcW w:w="9060" w:type="dxa"/>
            <w:vAlign w:val="bottom"/>
            <w:tcBorders>
              <w:right w:val="single" w:sz="8" w:color="auto"/>
            </w:tcBorders>
          </w:tcPr>
          <w:p>
            <w:pPr>
              <w:spacing w:after="0"/>
              <w:rPr>
                <w:sz w:val="24"/>
                <w:szCs w:val="24"/>
                <w:color w:val="auto"/>
              </w:rPr>
            </w:pP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shares</w:t>
            </w:r>
          </w:p>
        </w:tc>
        <w:tc>
          <w:tcPr>
            <w:tcW w:w="906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outstanding</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1,035,001,696 Class A ordinary shares (or 1,049,330,048 Class A ordinary shares if the underwriters' option</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w w:val="97"/>
              </w:rPr>
              <w:t>immediately</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purchase additional ADSs is exercised in full) and 67,590,336 Class B ordinary shares, excluding</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after this</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ordinary shares issuable upon the exercise of options outstanding under our share incentive plans as of the</w:t>
            </w:r>
          </w:p>
        </w:tc>
      </w:tr>
      <w:tr>
        <w:trPr>
          <w:trHeight w:val="222"/>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offering</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date of this prospectus supplement.</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Use of</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estimate that the net proceeds we will receive from this offering will be approximately US$385.5 million</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proceeds</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 approximately US$443.5 million if the underwriters exercise their option to purchase additional ADSs in</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full), after deducting underwriting discounts and commissions and estimated offering expenses payable by</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us. We expect approximately US$345.5 million of the net proceeds from this offering will be used in</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connection with the development and acquisition of new data centers, with the remaining amounts to be</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used for general corporate purposes.</w:t>
            </w:r>
          </w:p>
        </w:tc>
      </w:tr>
      <w:tr>
        <w:trPr>
          <w:trHeight w:val="426"/>
        </w:trPr>
        <w:tc>
          <w:tcPr>
            <w:tcW w:w="2500" w:type="dxa"/>
            <w:vAlign w:val="bottom"/>
            <w:tcBorders>
              <w:left w:val="single" w:sz="8" w:color="auto"/>
            </w:tcBorders>
          </w:tcPr>
          <w:p>
            <w:pPr>
              <w:spacing w:after="0"/>
              <w:rPr>
                <w:sz w:val="24"/>
                <w:szCs w:val="24"/>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"Use of Proceeds" and "Share Ownership of Directors, Officers and Principal Shareholders" for more</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information.</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Lock-up</w:t>
            </w: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our directors, executive officers and certain of our other significant shareholders, namely STT GDC Pte</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Ltd and EDC Group Limited, have agreed with the underwriters, subject to certain exceptions, not to sell,</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transfer or dispose of, directly or indirectly, any ADSs, Class A ordinary shares or securities convertible into</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 exercisable or exchangeable for our ADSs or Class A ordinary shares for a period of 90 days following</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date of this prospectus supplement. See "Shares Eligible for Future Sale" and "Underwriting" for more</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information.</w:t>
            </w:r>
          </w:p>
        </w:tc>
      </w:tr>
      <w:tr>
        <w:trPr>
          <w:trHeight w:val="444"/>
        </w:trPr>
        <w:tc>
          <w:tcPr>
            <w:tcW w:w="2500" w:type="dxa"/>
            <w:vAlign w:val="bottom"/>
            <w:tcBorders>
              <w:left w:val="single" w:sz="8" w:color="auto"/>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r>
      <w:tr>
        <w:trPr>
          <w:trHeight w:val="427"/>
        </w:trPr>
        <w:tc>
          <w:tcPr>
            <w:tcW w:w="2500" w:type="dxa"/>
            <w:vAlign w:val="bottom"/>
          </w:tcPr>
          <w:p>
            <w:pPr>
              <w:spacing w:after="0"/>
              <w:rPr>
                <w:sz w:val="24"/>
                <w:szCs w:val="24"/>
                <w:color w:val="auto"/>
              </w:rPr>
            </w:pPr>
          </w:p>
        </w:tc>
        <w:tc>
          <w:tcPr>
            <w:tcW w:w="9060" w:type="dxa"/>
            <w:vAlign w:val="bottom"/>
          </w:tcPr>
          <w:p>
            <w:pPr>
              <w:ind w:left="3160"/>
              <w:spacing w:after="0"/>
              <w:rPr>
                <w:sz w:val="20"/>
                <w:szCs w:val="20"/>
                <w:color w:val="auto"/>
              </w:rPr>
            </w:pPr>
            <w:r>
              <w:rPr>
                <w:rFonts w:ascii="Arial" w:cs="Arial" w:eastAsia="Arial" w:hAnsi="Arial"/>
                <w:sz w:val="18"/>
                <w:szCs w:val="18"/>
                <w:color w:val="auto"/>
              </w:rPr>
              <w:t>S-9</w:t>
            </w:r>
          </w:p>
        </w:tc>
      </w:tr>
      <w:tr>
        <w:trPr>
          <w:trHeight w:val="228"/>
        </w:trPr>
        <w:tc>
          <w:tcPr>
            <w:tcW w:w="250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500" w:type="dxa"/>
            <w:vAlign w:val="bottom"/>
            <w:tcBorders>
              <w:top w:val="single" w:sz="8" w:color="auto"/>
              <w:left w:val="single" w:sz="8" w:color="auto"/>
            </w:tcBorders>
          </w:tcPr>
          <w:p>
            <w:pPr>
              <w:ind w:left="1360"/>
              <w:spacing w:after="0"/>
              <w:rPr>
                <w:sz w:val="20"/>
                <w:szCs w:val="20"/>
                <w:color w:val="auto"/>
              </w:rPr>
            </w:pPr>
            <w:r>
              <w:rPr>
                <w:rFonts w:ascii="Arial" w:cs="Arial" w:eastAsia="Arial" w:hAnsi="Arial"/>
                <w:sz w:val="18"/>
                <w:szCs w:val="18"/>
                <w:color w:val="auto"/>
              </w:rPr>
              <w:t>Potential</w:t>
            </w:r>
          </w:p>
        </w:tc>
        <w:tc>
          <w:tcPr>
            <w:tcW w:w="9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STT GDC Pte Ltd, or STT GDC, one of our major shareholders which is affiliated with, and has the right to</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w w:val="96"/>
              </w:rPr>
              <w:t>participation</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appoint, certain of our directors, has indicated an interest in purchasing up to 6,373,134 ADSs in this</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by existing</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offering at the public offering price. However, because indications of interest are not binding agreements or</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w w:val="98"/>
              </w:rPr>
              <w:t>shareholder</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commitments to purchase, the underwriters could determine to sell more, less or no ADSs to STT GDC, and</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STT GDC could determine to purchase more, less or no ADSs in this offering. The underwriters will receive</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same underwriting discounts and commissions on any ADSs purchased by STT GDC as they will on</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any other ADSs sold to the public in this offering.</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w w:val="95"/>
              </w:rPr>
              <w:t>Amendment to</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Upon the closing of the Concurrent Private Convertible Preferred Offering, we will enter into an</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Investor</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amendment of our investor rights agreement with STT GDC to extend their preemptive rights with respect</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Rights</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 future private issuances of equity or equity-linked securities we conduct anytime in the eighteen months</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Agreement</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from the date of the Concurrent Convertible Preferred Offering, whereby STT GDC will have the right to</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subscribe for pro rata portions of any such future offerings based on their current shareholdings.</w:t>
            </w:r>
          </w:p>
        </w:tc>
      </w:tr>
      <w:tr>
        <w:trPr>
          <w:trHeight w:val="426"/>
        </w:trPr>
        <w:tc>
          <w:tcPr>
            <w:tcW w:w="250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Concurrent</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 affiliate of Ping An Overseas Holdings has agreed to make a US$150 million equity strategic investment</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Private</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 us in the form of convertible preferred shares, in reliance upon the exemption from registration provided</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Convertible</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by Regulation S under the Securities Act. The convertible preferred shares will initially accrue a 5% per</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Preferred</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annum dividend and have a conversion rate corresponding to a conversion price of US$35.60 per ADS,</w:t>
            </w:r>
          </w:p>
        </w:tc>
      </w:tr>
      <w:tr>
        <w:trPr>
          <w:trHeight w:val="216"/>
        </w:trPr>
        <w:tc>
          <w:tcPr>
            <w:tcW w:w="2500" w:type="dxa"/>
            <w:vAlign w:val="bottom"/>
            <w:tcBorders>
              <w:left w:val="single" w:sz="8" w:color="auto"/>
            </w:tcBorders>
          </w:tcPr>
          <w:p>
            <w:pPr>
              <w:ind w:left="1540"/>
              <w:spacing w:after="0"/>
              <w:rPr>
                <w:sz w:val="20"/>
                <w:szCs w:val="20"/>
                <w:color w:val="auto"/>
              </w:rPr>
            </w:pPr>
            <w:r>
              <w:rPr>
                <w:rFonts w:ascii="Arial" w:cs="Arial" w:eastAsia="Arial" w:hAnsi="Arial"/>
                <w:sz w:val="18"/>
                <w:szCs w:val="18"/>
                <w:color w:val="auto"/>
              </w:rPr>
              <w:t>Offering</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representing a premium of 13.3% to the volume weighted average price of our ADSs for the 30 trading days</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immediately preceding the date of signing the definitive agreement, subject to customary anti-dilution</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adjustments. We will have the right to trigger a mandatory conversion, beginning on March 15, 2022,</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subject to certain conditions, including our Class A ordinary shares achieving a specified price threshold of</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150% of the conversion price. See "Share Ownership of Directors, Officers and Principal Shareholders" for</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more information.</w:t>
            </w:r>
          </w:p>
        </w:tc>
      </w:tr>
      <w:tr>
        <w:trPr>
          <w:trHeight w:val="426"/>
        </w:trPr>
        <w:tc>
          <w:tcPr>
            <w:tcW w:w="2500" w:type="dxa"/>
            <w:vAlign w:val="bottom"/>
            <w:tcBorders>
              <w:left w:val="single" w:sz="8" w:color="auto"/>
            </w:tcBorders>
          </w:tcPr>
          <w:p>
            <w:pPr>
              <w:spacing w:after="0"/>
              <w:rPr>
                <w:sz w:val="24"/>
                <w:szCs w:val="24"/>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consummation of the Concurrent Private Convertible Preferred Offering is contingent on the</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satisfaction of certain customary conditions, but is not contingent on the consummation of this offering. The</w:t>
            </w:r>
          </w:p>
        </w:tc>
      </w:tr>
      <w:tr>
        <w:trPr>
          <w:trHeight w:val="216"/>
        </w:trPr>
        <w:tc>
          <w:tcPr>
            <w:tcW w:w="25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consummation of this offering is not contingent on the consummation of the Concurrent Private Convertible</w:t>
            </w:r>
          </w:p>
        </w:tc>
      </w:tr>
      <w:tr>
        <w:trPr>
          <w:trHeight w:val="222"/>
        </w:trPr>
        <w:tc>
          <w:tcPr>
            <w:tcW w:w="25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Preferred Offering.</w:t>
            </w:r>
          </w:p>
        </w:tc>
      </w:tr>
      <w:tr>
        <w:trPr>
          <w:trHeight w:val="444"/>
        </w:trPr>
        <w:tc>
          <w:tcPr>
            <w:tcW w:w="2500" w:type="dxa"/>
            <w:vAlign w:val="bottom"/>
            <w:tcBorders>
              <w:left w:val="single" w:sz="8" w:color="auto"/>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r>
      <w:tr>
        <w:trPr>
          <w:trHeight w:val="427"/>
        </w:trPr>
        <w:tc>
          <w:tcPr>
            <w:tcW w:w="2500" w:type="dxa"/>
            <w:vAlign w:val="bottom"/>
          </w:tcPr>
          <w:p>
            <w:pPr>
              <w:spacing w:after="0"/>
              <w:rPr>
                <w:sz w:val="24"/>
                <w:szCs w:val="24"/>
                <w:color w:val="auto"/>
              </w:rPr>
            </w:pPr>
          </w:p>
        </w:tc>
        <w:tc>
          <w:tcPr>
            <w:tcW w:w="9060" w:type="dxa"/>
            <w:vAlign w:val="bottom"/>
          </w:tcPr>
          <w:p>
            <w:pPr>
              <w:ind w:left="3120"/>
              <w:spacing w:after="0"/>
              <w:rPr>
                <w:sz w:val="20"/>
                <w:szCs w:val="20"/>
                <w:color w:val="auto"/>
              </w:rPr>
            </w:pPr>
            <w:r>
              <w:rPr>
                <w:rFonts w:ascii="Arial" w:cs="Arial" w:eastAsia="Arial" w:hAnsi="Arial"/>
                <w:sz w:val="18"/>
                <w:szCs w:val="18"/>
                <w:color w:val="auto"/>
              </w:rPr>
              <w:t>S-10</w:t>
            </w:r>
          </w:p>
        </w:tc>
      </w:tr>
      <w:tr>
        <w:trPr>
          <w:trHeight w:val="228"/>
        </w:trPr>
        <w:tc>
          <w:tcPr>
            <w:tcW w:w="250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980" w:type="dxa"/>
            <w:vAlign w:val="bottom"/>
            <w:tcBorders>
              <w:top w:val="single" w:sz="8" w:color="auto"/>
              <w:left w:val="single" w:sz="8" w:color="auto"/>
            </w:tcBorders>
          </w:tcPr>
          <w:p>
            <w:pPr>
              <w:ind w:left="1360"/>
              <w:spacing w:after="0"/>
              <w:rPr>
                <w:sz w:val="20"/>
                <w:szCs w:val="20"/>
                <w:color w:val="auto"/>
              </w:rPr>
            </w:pPr>
            <w:r>
              <w:rPr>
                <w:rFonts w:ascii="Arial" w:cs="Arial" w:eastAsia="Arial" w:hAnsi="Arial"/>
                <w:sz w:val="18"/>
                <w:szCs w:val="18"/>
                <w:color w:val="auto"/>
              </w:rPr>
              <w:t>Risk factors</w:t>
            </w:r>
          </w:p>
        </w:tc>
        <w:tc>
          <w:tcPr>
            <w:tcW w:w="758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See "Risk Factors" and other information included in this prospectus supplement,</w:t>
            </w:r>
          </w:p>
        </w:tc>
      </w:tr>
      <w:tr>
        <w:trPr>
          <w:trHeight w:val="216"/>
        </w:trPr>
        <w:tc>
          <w:tcPr>
            <w:tcW w:w="39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the accompanying prospectus and the documents incorporated by reference for a</w:t>
            </w:r>
          </w:p>
        </w:tc>
      </w:tr>
      <w:tr>
        <w:trPr>
          <w:trHeight w:val="216"/>
        </w:trPr>
        <w:tc>
          <w:tcPr>
            <w:tcW w:w="39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discussion of factors you should carefully consider before deciding to invest in</w:t>
            </w:r>
          </w:p>
        </w:tc>
      </w:tr>
      <w:tr>
        <w:trPr>
          <w:trHeight w:val="222"/>
        </w:trPr>
        <w:tc>
          <w:tcPr>
            <w:tcW w:w="398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the ADSs.</w:t>
            </w:r>
          </w:p>
        </w:tc>
      </w:tr>
      <w:tr>
        <w:trPr>
          <w:trHeight w:val="432"/>
        </w:trPr>
        <w:tc>
          <w:tcPr>
            <w:tcW w:w="398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Nasdaq Global Market symbol</w:t>
            </w:r>
          </w:p>
        </w:tc>
        <w:tc>
          <w:tcPr>
            <w:tcW w:w="7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GDS</w:t>
            </w:r>
          </w:p>
        </w:tc>
      </w:tr>
      <w:tr>
        <w:trPr>
          <w:trHeight w:val="426"/>
        </w:trPr>
        <w:tc>
          <w:tcPr>
            <w:tcW w:w="398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Payment and settlement</w:t>
            </w:r>
          </w:p>
        </w:tc>
        <w:tc>
          <w:tcPr>
            <w:tcW w:w="7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The underwriters expect to deliver the ADSs against payment therefor through</w:t>
            </w:r>
          </w:p>
        </w:tc>
      </w:tr>
      <w:tr>
        <w:trPr>
          <w:trHeight w:val="222"/>
        </w:trPr>
        <w:tc>
          <w:tcPr>
            <w:tcW w:w="398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the facilities of the Depository Trust Company on or about March 19, 2019.</w:t>
            </w:r>
          </w:p>
        </w:tc>
      </w:tr>
      <w:tr>
        <w:trPr>
          <w:trHeight w:val="228"/>
        </w:trPr>
        <w:tc>
          <w:tcPr>
            <w:tcW w:w="398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r>
      <w:tr>
        <w:trPr>
          <w:trHeight w:val="427"/>
        </w:trPr>
        <w:tc>
          <w:tcPr>
            <w:tcW w:w="3980" w:type="dxa"/>
            <w:vAlign w:val="bottom"/>
          </w:tcPr>
          <w:p>
            <w:pPr>
              <w:spacing w:after="0"/>
              <w:rPr>
                <w:sz w:val="24"/>
                <w:szCs w:val="24"/>
                <w:color w:val="auto"/>
              </w:rPr>
            </w:pPr>
          </w:p>
        </w:tc>
        <w:tc>
          <w:tcPr>
            <w:tcW w:w="7580" w:type="dxa"/>
            <w:vAlign w:val="bottom"/>
          </w:tcPr>
          <w:p>
            <w:pPr>
              <w:ind w:left="1640"/>
              <w:spacing w:after="0"/>
              <w:rPr>
                <w:sz w:val="20"/>
                <w:szCs w:val="20"/>
                <w:color w:val="auto"/>
              </w:rPr>
            </w:pPr>
            <w:r>
              <w:rPr>
                <w:rFonts w:ascii="Arial" w:cs="Arial" w:eastAsia="Arial" w:hAnsi="Arial"/>
                <w:sz w:val="18"/>
                <w:szCs w:val="18"/>
                <w:color w:val="auto"/>
              </w:rPr>
              <w:t>S-11</w:t>
            </w:r>
          </w:p>
        </w:tc>
      </w:tr>
      <w:tr>
        <w:trPr>
          <w:trHeight w:val="228"/>
        </w:trPr>
        <w:tc>
          <w:tcPr>
            <w:tcW w:w="398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2498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1870"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31" w:lineRule="exact"/>
        <w:rPr>
          <w:sz w:val="20"/>
          <w:szCs w:val="20"/>
          <w:color w:val="auto"/>
        </w:rPr>
      </w:pPr>
    </w:p>
    <w:p>
      <w:pPr>
        <w:jc w:val="both"/>
        <w:ind w:left="240" w:right="120" w:firstLine="344"/>
        <w:spacing w:after="0" w:line="259" w:lineRule="auto"/>
        <w:rPr>
          <w:sz w:val="20"/>
          <w:szCs w:val="20"/>
          <w:color w:val="auto"/>
        </w:rPr>
      </w:pPr>
      <w:r>
        <w:rPr>
          <w:rFonts w:ascii="Arial" w:cs="Arial" w:eastAsia="Arial" w:hAnsi="Arial"/>
          <w:sz w:val="18"/>
          <w:szCs w:val="18"/>
          <w:color w:val="auto"/>
        </w:rPr>
        <w:t>You should read the following information in conjunction with our annual report on Form 20-F for the fiscal year ended December 31, 2018, including the audited consolidated financial statements included therein, and the other financial information included elsewhere in or incorporated by reference in this prospectus supplement.</w:t>
      </w:r>
    </w:p>
    <w:p>
      <w:pPr>
        <w:spacing w:after="0" w:line="194"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The following summary consolidated financial information has been derived from our consolidated financial statements included elsewhere in or incorporated by reference in this prospectus supplement. The summary consolidated statements of operations data for the years ended December 31, 2016, 2017 and 2018 and the summary consolidated balance sheet data as of December 31, 2017 and 2018 have been derived from our audited consolidated financial statements incorporated by reference in this prospectus supplement and the accompanying prospectus from our annual report on Form 20-F for the fiscal year ended December 31, 2018. We derived the selected consolidated statement of operations data for the year ended December 31, 2014 and 2015, and the selected consolidated balance sheet data as of December 31, 2014, 2015 and 2016, as set forth below, from our audited consolidated financial statements that have not been included or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6913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1870" cy="691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20" w:firstLine="351"/>
        <w:spacing w:after="0" w:line="268" w:lineRule="auto"/>
        <w:rPr>
          <w:sz w:val="20"/>
          <w:szCs w:val="20"/>
          <w:color w:val="auto"/>
        </w:rPr>
      </w:pPr>
      <w:r>
        <w:rPr>
          <w:rFonts w:ascii="Arial" w:cs="Arial" w:eastAsia="Arial" w:hAnsi="Arial"/>
          <w:sz w:val="18"/>
          <w:szCs w:val="18"/>
          <w:color w:val="auto"/>
        </w:rPr>
        <w:t>Our historical results do not necessarily indicate our results expected for any future periods. Our consolidated financial statements are prepared and presented in accordance with generally accepted accounting principles in the United States, or U.S. GAAP.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2018</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3"/>
                <w:szCs w:val="13"/>
                <w:b w:val="1"/>
                <w:bCs w:val="1"/>
                <w:color w:val="auto"/>
              </w:rPr>
              <w:t>US$</w:t>
            </w:r>
          </w:p>
        </w:tc>
        <w:tc>
          <w:tcPr>
            <w:tcW w:w="140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gridSpan w:val="9"/>
          </w:tcPr>
          <w:p>
            <w:pPr>
              <w:jc w:val="right"/>
              <w:ind w:right="560"/>
              <w:spacing w:after="0" w:line="142" w:lineRule="exact"/>
              <w:rPr>
                <w:sz w:val="20"/>
                <w:szCs w:val="20"/>
                <w:color w:val="auto"/>
              </w:rPr>
            </w:pPr>
            <w:r>
              <w:rPr>
                <w:rFonts w:ascii="Arial" w:cs="Arial" w:eastAsia="Arial" w:hAnsi="Arial"/>
                <w:sz w:val="13"/>
                <w:szCs w:val="13"/>
                <w:b w:val="1"/>
                <w:bCs w:val="1"/>
                <w:color w:val="auto"/>
                <w:w w:val="99"/>
              </w:rPr>
              <w:t>(in thousands, except for numbers of shares and per share data)</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w w:val="97"/>
              </w:rPr>
              <w:t>Consolidated Statement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468,337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703,636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1,055,960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1,616,166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2,792,077</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406,091</w:t>
            </w: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(388,171)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(514,997)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(790,286)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(1,207,694)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(2,169,636)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(315,560)</w:t>
            </w: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80,166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188,639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265,674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408,472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622,441</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90,531</w:t>
            </w: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(40,556)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(57,588)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(71,578)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(90,118)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(110,570)</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(16,082)</w:t>
            </w:r>
          </w:p>
        </w:tc>
        <w:tc>
          <w:tcPr>
            <w:tcW w:w="124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(113,711)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(128,714)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(227,370)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(228,864)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(329,601)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(47,938)</w:t>
            </w:r>
          </w:p>
        </w:tc>
        <w:tc>
          <w:tcPr>
            <w:tcW w:w="124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(7,261)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(13,915)</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(2,024)</w:t>
            </w:r>
          </w:p>
        </w:tc>
        <w:tc>
          <w:tcPr>
            <w:tcW w:w="124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82,229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168,355</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24,487</w:t>
            </w:r>
          </w:p>
        </w:tc>
        <w:tc>
          <w:tcPr>
            <w:tcW w:w="124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Other income (expenses)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(124,973)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(125,546)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(263,164)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(636,973)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(92,644)</w:t>
            </w:r>
          </w:p>
        </w:tc>
        <w:tc>
          <w:tcPr>
            <w:tcW w:w="124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Foreign currency exchange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(loss) gain, net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11,107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(12,299)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20,306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2,953</w:t>
            </w:r>
          </w:p>
        </w:tc>
        <w:tc>
          <w:tcPr>
            <w:tcW w:w="124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grants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24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Gain on remeasurement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equity investment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62,506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â€”</w:t>
            </w:r>
          </w:p>
        </w:tc>
        <w:tc>
          <w:tcPr>
            <w:tcW w:w="2280" w:type="dxa"/>
            <w:vAlign w:val="bottom"/>
            <w:gridSpan w:val="3"/>
          </w:tcPr>
          <w:p>
            <w:pPr>
              <w:jc w:val="right"/>
              <w:ind w:right="1400"/>
              <w:spacing w:after="0"/>
              <w:rPr>
                <w:sz w:val="20"/>
                <w:szCs w:val="20"/>
                <w:color w:val="auto"/>
              </w:rPr>
            </w:pPr>
            <w:r>
              <w:rPr>
                <w:rFonts w:ascii="Arial" w:cs="Arial" w:eastAsia="Arial" w:hAnsi="Arial"/>
                <w:sz w:val="18"/>
                <w:szCs w:val="18"/>
                <w:color w:val="auto"/>
              </w:rPr>
              <w:t>â€”</w:t>
            </w:r>
          </w:p>
        </w:tc>
      </w:tr>
      <w:tr>
        <w:trPr>
          <w:trHeight w:val="217"/>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w:t>
            </w: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(134,582)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(110,567)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(284,727)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(332,976)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(439,659)</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(63,945)</w:t>
            </w: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w:t>
            </w: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(129,999)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(98,584)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(276,412)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(326,900)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(430,268)</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(62,579)</w:t>
            </w:r>
          </w:p>
        </w:tc>
        <w:tc>
          <w:tcPr>
            <w:tcW w:w="124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Extinguishment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preferred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â€”</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24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w w:val="98"/>
              </w:rPr>
              <w:t>Change in redemption value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of redeemable preferred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(69,116)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(110,926)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205,670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â€”</w:t>
            </w:r>
          </w:p>
        </w:tc>
        <w:tc>
          <w:tcPr>
            <w:tcW w:w="2280" w:type="dxa"/>
            <w:vAlign w:val="bottom"/>
            <w:gridSpan w:val="3"/>
          </w:tcPr>
          <w:p>
            <w:pPr>
              <w:jc w:val="right"/>
              <w:ind w:right="1400"/>
              <w:spacing w:after="0"/>
              <w:rPr>
                <w:sz w:val="20"/>
                <w:szCs w:val="20"/>
                <w:color w:val="auto"/>
              </w:rPr>
            </w:pPr>
            <w:r>
              <w:rPr>
                <w:rFonts w:ascii="Arial" w:cs="Arial" w:eastAsia="Arial" w:hAnsi="Arial"/>
                <w:sz w:val="18"/>
                <w:szCs w:val="18"/>
                <w:color w:val="auto"/>
              </w:rPr>
              <w:t>â€”</w:t>
            </w:r>
          </w:p>
        </w:tc>
      </w:tr>
      <w:tr>
        <w:trPr>
          <w:trHeight w:val="209"/>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Dividends 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(332,660)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â€”</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24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Net loss attributable to</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ordinary shareholders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(309,139)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(216,637)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(403,402)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(326,900)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(430,268)</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(62,579)</w:t>
            </w:r>
          </w:p>
        </w:tc>
        <w:tc>
          <w:tcPr>
            <w:tcW w:w="124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ordinary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shareâ€”basic and diluted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124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w w:val="95"/>
              </w:rPr>
              <w:t>Weighted average number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ordinary shares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outstandingâ€”basic and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1340" w:type="dxa"/>
            <w:vAlign w:val="bottom"/>
          </w:tcPr>
          <w:p>
            <w:pPr>
              <w:spacing w:after="0"/>
              <w:rPr>
                <w:sz w:val="19"/>
                <w:szCs w:val="19"/>
                <w:color w:val="auto"/>
              </w:rPr>
            </w:pPr>
          </w:p>
        </w:tc>
        <w:tc>
          <w:tcPr>
            <w:tcW w:w="22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162,070,745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217,987,922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299,093,937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784,566,371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990,255,959</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990,255,959</w:t>
            </w:r>
          </w:p>
        </w:tc>
        <w:tc>
          <w:tcPr>
            <w:tcW w:w="1240" w:type="dxa"/>
            <w:vAlign w:val="bottom"/>
          </w:tcPr>
          <w:p>
            <w:pPr>
              <w:spacing w:after="0"/>
              <w:rPr>
                <w:sz w:val="19"/>
                <w:szCs w:val="19"/>
                <w:color w:val="auto"/>
              </w:rPr>
            </w:pPr>
          </w:p>
        </w:tc>
      </w:tr>
      <w:tr>
        <w:trPr>
          <w:trHeight w:val="228"/>
        </w:trPr>
        <w:tc>
          <w:tcPr>
            <w:tcW w:w="1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4"/>
          </w:tcPr>
          <w:p>
            <w:pPr>
              <w:jc w:val="right"/>
              <w:ind w:right="1000"/>
              <w:spacing w:after="0"/>
              <w:rPr>
                <w:sz w:val="20"/>
                <w:szCs w:val="20"/>
                <w:color w:val="auto"/>
              </w:rPr>
            </w:pPr>
            <w:r>
              <w:rPr>
                <w:rFonts w:ascii="Arial" w:cs="Arial" w:eastAsia="Arial" w:hAnsi="Arial"/>
                <w:sz w:val="18"/>
                <w:szCs w:val="18"/>
                <w:color w:val="auto"/>
              </w:rPr>
              <w:t>S-13</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344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1870" cy="534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3"/>
                <w:szCs w:val="13"/>
                <w:b w:val="1"/>
                <w:bCs w:val="1"/>
                <w:color w:val="auto"/>
              </w:rPr>
              <w:t>As of December 31,</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3"/>
                <w:szCs w:val="13"/>
                <w:b w:val="1"/>
                <w:bCs w:val="1"/>
                <w:color w:val="auto"/>
              </w:rPr>
              <w:t>2018</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180"/>
              <w:spacing w:after="0" w:line="142" w:lineRule="exact"/>
              <w:rPr>
                <w:sz w:val="20"/>
                <w:szCs w:val="20"/>
                <w:color w:val="auto"/>
              </w:rPr>
            </w:pPr>
            <w:r>
              <w:rPr>
                <w:rFonts w:ascii="Arial" w:cs="Arial" w:eastAsia="Arial" w:hAnsi="Arial"/>
                <w:sz w:val="13"/>
                <w:szCs w:val="13"/>
                <w:b w:val="1"/>
                <w:bCs w:val="1"/>
                <w:color w:val="auto"/>
                <w:w w:val="71"/>
              </w:rPr>
              <w:t>(in thousands,</w:t>
            </w:r>
          </w:p>
        </w:tc>
        <w:tc>
          <w:tcPr>
            <w:tcW w:w="160" w:type="dxa"/>
            <w:vAlign w:val="bottom"/>
          </w:tcPr>
          <w:p>
            <w:pPr>
              <w:spacing w:after="0"/>
              <w:rPr>
                <w:sz w:val="12"/>
                <w:szCs w:val="12"/>
                <w:color w:val="auto"/>
              </w:rPr>
            </w:pPr>
          </w:p>
        </w:tc>
        <w:tc>
          <w:tcPr>
            <w:tcW w:w="3240" w:type="dxa"/>
            <w:vAlign w:val="bottom"/>
            <w:gridSpan w:val="7"/>
          </w:tcPr>
          <w:p>
            <w:pPr>
              <w:jc w:val="right"/>
              <w:ind w:right="400"/>
              <w:spacing w:after="0" w:line="142" w:lineRule="exact"/>
              <w:rPr>
                <w:sz w:val="20"/>
                <w:szCs w:val="20"/>
                <w:color w:val="auto"/>
              </w:rPr>
            </w:pPr>
            <w:r>
              <w:rPr>
                <w:rFonts w:ascii="Arial" w:cs="Arial" w:eastAsia="Arial" w:hAnsi="Arial"/>
                <w:sz w:val="13"/>
                <w:szCs w:val="13"/>
                <w:b w:val="1"/>
                <w:bCs w:val="1"/>
                <w:color w:val="auto"/>
                <w:w w:val="92"/>
              </w:rPr>
              <w:t>except for numbers of shares and per share data)</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Consolidated Balance Sheet Data:</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Cash</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606,758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924,498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1,811,319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1,873,446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2,161,622</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314,395</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73,366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111,013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198,851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364,654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536,842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78,080</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745,831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1,186,699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2,210,313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2,454,028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3,037,396</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441,771</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1,694,944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2,512,687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4,322,891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8,165,601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13,994,945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2,035,480</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Goodwill and intangible assets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1,350,524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1,341,599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1,433,656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1,919,221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2,234,462</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324,989</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3,854,074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5,128,272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8,203,866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13,144,567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20,885,243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3,037,632</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897,630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925,049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1,479,221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2,423,071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3,507,879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510,199</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1,706,600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3,073,463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5,217,392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8,669,055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15,363,318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2,234,502</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Redeemable preferred shares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2,164,039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2,395,314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â€”</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â€”</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(deficit) equity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(340,505)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2,986,474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4,475,512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5,521,925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803,130</w:t>
            </w: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Financial Metrics</w:t>
      </w:r>
    </w:p>
    <w:p>
      <w:pPr>
        <w:spacing w:after="0" w:line="231" w:lineRule="exact"/>
        <w:rPr>
          <w:sz w:val="20"/>
          <w:szCs w:val="20"/>
          <w:color w:val="auto"/>
        </w:rPr>
      </w:pPr>
    </w:p>
    <w:p>
      <w:pPr>
        <w:ind w:left="240" w:firstLine="348"/>
        <w:spacing w:after="0" w:line="268" w:lineRule="auto"/>
        <w:rPr>
          <w:sz w:val="20"/>
          <w:szCs w:val="20"/>
          <w:color w:val="auto"/>
        </w:rPr>
      </w:pPr>
      <w:r>
        <w:rPr>
          <w:rFonts w:ascii="Arial" w:cs="Arial" w:eastAsia="Arial" w:hAnsi="Arial"/>
          <w:sz w:val="18"/>
          <w:szCs w:val="18"/>
          <w:color w:val="auto"/>
        </w:rPr>
        <w:t>We monitor the following key financial metrics to help us evaluate growth trends, establish budgets, measure the effectiveness of our business strategies and assess operational efficiencies:</w:t>
      </w: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3"/>
                <w:szCs w:val="13"/>
                <w:b w:val="1"/>
                <w:bCs w:val="1"/>
                <w:color w:val="auto"/>
                <w:w w:val="93"/>
              </w:rPr>
              <w:t>Year Ended December 31,</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2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2014</w:t>
            </w:r>
          </w:p>
        </w:tc>
        <w:tc>
          <w:tcPr>
            <w:tcW w:w="240" w:type="dxa"/>
            <w:vAlign w:val="bottom"/>
          </w:tcPr>
          <w:p>
            <w:pPr>
              <w:spacing w:after="0"/>
              <w:rPr>
                <w:sz w:val="12"/>
                <w:szCs w:val="12"/>
                <w:color w:val="auto"/>
              </w:rPr>
            </w:pPr>
          </w:p>
        </w:tc>
        <w:tc>
          <w:tcPr>
            <w:tcW w:w="4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2018</w:t>
            </w:r>
          </w:p>
        </w:tc>
        <w:tc>
          <w:tcPr>
            <w:tcW w:w="420" w:type="dxa"/>
            <w:vAlign w:val="bottom"/>
          </w:tcPr>
          <w:p>
            <w:pPr>
              <w:spacing w:after="0"/>
              <w:rPr>
                <w:sz w:val="12"/>
                <w:szCs w:val="12"/>
                <w:color w:val="auto"/>
              </w:rPr>
            </w:pPr>
          </w:p>
        </w:tc>
      </w:tr>
      <w:tr>
        <w:trPr>
          <w:trHeight w:val="20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Consolidated Financial Data:</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Gross margin(1)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Net margin(3)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r>
      <w:tr>
        <w:trPr>
          <w:trHeight w:val="102"/>
        </w:trPr>
        <w:tc>
          <w:tcPr>
            <w:tcW w:w="23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r>
    </w:tbl>
    <w:p>
      <w:pPr>
        <w:spacing w:after="0" w:line="235" w:lineRule="exact"/>
        <w:rPr>
          <w:sz w:val="20"/>
          <w:szCs w:val="20"/>
          <w:color w:val="auto"/>
        </w:rPr>
      </w:pPr>
    </w:p>
    <w:p>
      <w:pPr>
        <w:ind w:left="1900" w:hanging="549"/>
        <w:spacing w:after="0"/>
        <w:tabs>
          <w:tab w:leader="none" w:pos="1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as a percentage of net revenue.</w:t>
      </w:r>
    </w:p>
    <w:p>
      <w:pPr>
        <w:spacing w:after="0" w:line="238" w:lineRule="exact"/>
        <w:rPr>
          <w:rFonts w:ascii="Arial" w:cs="Arial" w:eastAsia="Arial" w:hAnsi="Arial"/>
          <w:sz w:val="18"/>
          <w:szCs w:val="18"/>
          <w:color w:val="auto"/>
        </w:rPr>
      </w:pPr>
    </w:p>
    <w:p>
      <w:pPr>
        <w:ind w:left="1900" w:hanging="549"/>
        <w:spacing w:after="0"/>
        <w:tabs>
          <w:tab w:leader="none" w:pos="1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(loss) from operations as a percentage of net revenue.</w:t>
      </w:r>
    </w:p>
    <w:p>
      <w:pPr>
        <w:spacing w:after="0" w:line="238" w:lineRule="exact"/>
        <w:rPr>
          <w:rFonts w:ascii="Arial" w:cs="Arial" w:eastAsia="Arial" w:hAnsi="Arial"/>
          <w:sz w:val="18"/>
          <w:szCs w:val="18"/>
          <w:color w:val="auto"/>
        </w:rPr>
      </w:pPr>
    </w:p>
    <w:p>
      <w:pPr>
        <w:ind w:left="1900" w:hanging="549"/>
        <w:spacing w:after="0"/>
        <w:tabs>
          <w:tab w:leader="none" w:pos="1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(loss) as a percentage of net revenue.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280"/>
          </w:cols>
          <w:pgMar w:left="160" w:top="51" w:right="4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6896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1870" cy="689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Non-GAAP Measures</w:t>
      </w:r>
    </w:p>
    <w:p>
      <w:pPr>
        <w:spacing w:after="0" w:line="231" w:lineRule="exact"/>
        <w:rPr>
          <w:sz w:val="20"/>
          <w:szCs w:val="20"/>
          <w:color w:val="auto"/>
        </w:rPr>
      </w:pPr>
    </w:p>
    <w:p>
      <w:pPr>
        <w:ind w:left="240" w:right="540" w:firstLine="351"/>
        <w:spacing w:after="0" w:line="268" w:lineRule="auto"/>
        <w:rPr>
          <w:sz w:val="20"/>
          <w:szCs w:val="20"/>
          <w:color w:val="auto"/>
        </w:rPr>
      </w:pPr>
      <w:r>
        <w:rPr>
          <w:rFonts w:ascii="Arial" w:cs="Arial" w:eastAsia="Arial" w:hAnsi="Arial"/>
          <w:sz w:val="18"/>
          <w:szCs w:val="18"/>
          <w:color w:val="auto"/>
        </w:rPr>
        <w:t>In evaluating our business, we consider and use the following non-GAAP measures as supplemental measures to review and assess our operating performance:</w:t>
      </w: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ind w:left="220"/>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2"/>
                <w:szCs w:val="12"/>
                <w:color w:val="auto"/>
              </w:rPr>
            </w:pPr>
          </w:p>
        </w:tc>
        <w:tc>
          <w:tcPr>
            <w:tcW w:w="760" w:type="dxa"/>
            <w:vAlign w:val="bottom"/>
            <w:gridSpan w:val="2"/>
          </w:tcPr>
          <w:p>
            <w:pPr>
              <w:jc w:val="right"/>
              <w:ind w:right="153"/>
              <w:spacing w:after="0" w:line="142"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2"/>
                <w:szCs w:val="12"/>
                <w:color w:val="auto"/>
              </w:rPr>
            </w:pPr>
          </w:p>
        </w:tc>
        <w:tc>
          <w:tcPr>
            <w:tcW w:w="700" w:type="dxa"/>
            <w:vAlign w:val="bottom"/>
          </w:tcPr>
          <w:p>
            <w:pPr>
              <w:ind w:left="220"/>
              <w:spacing w:after="0" w:line="142" w:lineRule="exact"/>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2"/>
                <w:szCs w:val="12"/>
                <w:color w:val="auto"/>
              </w:rPr>
            </w:pPr>
          </w:p>
        </w:tc>
        <w:tc>
          <w:tcPr>
            <w:tcW w:w="700" w:type="dxa"/>
            <w:vAlign w:val="bottom"/>
          </w:tcPr>
          <w:p>
            <w:pPr>
              <w:ind w:left="220"/>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3"/>
                <w:szCs w:val="13"/>
                <w:b w:val="1"/>
                <w:bCs w:val="1"/>
                <w:color w:val="auto"/>
              </w:rPr>
              <w:t>RMB</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2"/>
                <w:szCs w:val="12"/>
                <w:color w:val="auto"/>
              </w:rPr>
            </w:pPr>
          </w:p>
        </w:tc>
      </w:tr>
      <w:tr>
        <w:trPr>
          <w:trHeight w:val="142"/>
        </w:trPr>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83"/>
              </w:rPr>
              <w:t>(in thousands,</w:t>
            </w:r>
          </w:p>
        </w:tc>
        <w:tc>
          <w:tcPr>
            <w:tcW w:w="3040" w:type="dxa"/>
            <w:vAlign w:val="bottom"/>
            <w:gridSpan w:val="7"/>
          </w:tcPr>
          <w:p>
            <w:pPr>
              <w:jc w:val="right"/>
              <w:ind w:right="140"/>
              <w:spacing w:after="0" w:line="142" w:lineRule="exact"/>
              <w:rPr>
                <w:sz w:val="20"/>
                <w:szCs w:val="20"/>
                <w:color w:val="auto"/>
              </w:rPr>
            </w:pPr>
            <w:r>
              <w:rPr>
                <w:rFonts w:ascii="Arial" w:cs="Arial" w:eastAsia="Arial" w:hAnsi="Arial"/>
                <w:sz w:val="13"/>
                <w:szCs w:val="13"/>
                <w:b w:val="1"/>
                <w:bCs w:val="1"/>
                <w:color w:val="auto"/>
                <w:w w:val="94"/>
              </w:rPr>
              <w:t>except for numbers of shares and per share data)</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7"/>
              </w:rPr>
              <w:t>Non-GAAP Consolidated Financial Data:</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Adjusted EBITDA(1)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38,044</w:t>
            </w:r>
          </w:p>
        </w:tc>
        <w:tc>
          <w:tcPr>
            <w:tcW w:w="960" w:type="dxa"/>
            <w:vAlign w:val="bottom"/>
            <w:gridSpan w:val="3"/>
          </w:tcPr>
          <w:p>
            <w:pPr>
              <w:jc w:val="right"/>
              <w:ind w:right="133"/>
              <w:spacing w:after="0"/>
              <w:rPr>
                <w:sz w:val="20"/>
                <w:szCs w:val="20"/>
                <w:color w:val="auto"/>
              </w:rPr>
            </w:pPr>
            <w:r>
              <w:rPr>
                <w:rFonts w:ascii="Arial" w:cs="Arial" w:eastAsia="Arial" w:hAnsi="Arial"/>
                <w:sz w:val="18"/>
                <w:szCs w:val="18"/>
                <w:color w:val="auto"/>
              </w:rPr>
              <w:t>164,701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270,545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512,349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1,046,538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152,215</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margin(2)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08"/>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Adjusted net operating income (Adjusted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NOI)(3)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154,114</w:t>
            </w:r>
          </w:p>
        </w:tc>
        <w:tc>
          <w:tcPr>
            <w:tcW w:w="960" w:type="dxa"/>
            <w:vAlign w:val="bottom"/>
            <w:gridSpan w:val="3"/>
          </w:tcPr>
          <w:p>
            <w:pPr>
              <w:jc w:val="right"/>
              <w:ind w:right="133"/>
              <w:spacing w:after="0"/>
              <w:rPr>
                <w:sz w:val="20"/>
                <w:szCs w:val="20"/>
                <w:color w:val="auto"/>
              </w:rPr>
            </w:pPr>
            <w:r>
              <w:rPr>
                <w:rFonts w:ascii="Arial" w:cs="Arial" w:eastAsia="Arial" w:hAnsi="Arial"/>
                <w:sz w:val="18"/>
                <w:szCs w:val="18"/>
                <w:color w:val="auto"/>
              </w:rPr>
              <w:t>320,475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475,100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764,726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1,322,585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192,363</w:t>
            </w:r>
          </w:p>
        </w:tc>
      </w:tr>
      <w:tr>
        <w:trPr>
          <w:trHeight w:val="21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NOI margin(4)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108"/>
        </w:trPr>
        <w:tc>
          <w:tcPr>
            <w:tcW w:w="18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900" w:right="80" w:hanging="549"/>
        <w:spacing w:after="0" w:line="259" w:lineRule="auto"/>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is defined as net income or net loss excluding net interest expenses, incomes tax benefits, depreciation and amortization, accretion expenses for asset retirement costs, share-based compensation expenses and gain on remeasurement of equity investment.</w:t>
      </w:r>
    </w:p>
    <w:p>
      <w:pPr>
        <w:spacing w:after="0" w:line="207" w:lineRule="exact"/>
        <w:rPr>
          <w:rFonts w:ascii="Arial" w:cs="Arial" w:eastAsia="Arial" w:hAnsi="Arial"/>
          <w:sz w:val="18"/>
          <w:szCs w:val="18"/>
          <w:color w:val="auto"/>
        </w:rPr>
      </w:pPr>
    </w:p>
    <w:p>
      <w:pPr>
        <w:ind w:left="1900" w:hanging="549"/>
        <w:spacing w:after="0"/>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as a percentage of net revenue.</w:t>
      </w:r>
    </w:p>
    <w:p>
      <w:pPr>
        <w:spacing w:after="0" w:line="238" w:lineRule="exact"/>
        <w:rPr>
          <w:rFonts w:ascii="Arial" w:cs="Arial" w:eastAsia="Arial" w:hAnsi="Arial"/>
          <w:sz w:val="18"/>
          <w:szCs w:val="18"/>
          <w:color w:val="auto"/>
        </w:rPr>
      </w:pPr>
    </w:p>
    <w:p>
      <w:pPr>
        <w:ind w:left="1900" w:hanging="549"/>
        <w:spacing w:after="0" w:line="298" w:lineRule="auto"/>
        <w:tabs>
          <w:tab w:leader="none" w:pos="1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net operating income (Adjusted NOI) is defined as net loss (computed in accordance with GAAP), excluding: net interest expenses, income tax benefits, depreciation and amortization, accretion expenses for asset retirement costs, share-based compensation expenses, gain on remeasurement of equity investment, selling and marketing expenses, general and administrative expenses, research and development expenses, foreign currency exchange loss (gain), government grants and others.</w:t>
      </w:r>
    </w:p>
    <w:p>
      <w:pPr>
        <w:spacing w:after="0" w:line="193" w:lineRule="exact"/>
        <w:rPr>
          <w:rFonts w:ascii="Arial" w:cs="Arial" w:eastAsia="Arial" w:hAnsi="Arial"/>
          <w:sz w:val="16"/>
          <w:szCs w:val="16"/>
          <w:color w:val="auto"/>
        </w:rPr>
      </w:pPr>
    </w:p>
    <w:p>
      <w:pPr>
        <w:ind w:left="1900" w:hanging="549"/>
        <w:spacing w:after="0"/>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NOI margin is defined as adjusted NOI as a percentage of net revenue.</w:t>
      </w:r>
    </w:p>
    <w:p>
      <w:pPr>
        <w:spacing w:after="0" w:line="225" w:lineRule="exact"/>
        <w:rPr>
          <w:sz w:val="20"/>
          <w:szCs w:val="20"/>
          <w:color w:val="auto"/>
        </w:rPr>
      </w:pPr>
    </w:p>
    <w:p>
      <w:pPr>
        <w:ind w:left="240" w:right="120" w:firstLine="351"/>
        <w:spacing w:after="0" w:line="256" w:lineRule="auto"/>
        <w:rPr>
          <w:sz w:val="20"/>
          <w:szCs w:val="20"/>
          <w:color w:val="auto"/>
        </w:rPr>
      </w:pPr>
      <w:r>
        <w:rPr>
          <w:rFonts w:ascii="Arial" w:cs="Arial" w:eastAsia="Arial" w:hAnsi="Arial"/>
          <w:sz w:val="18"/>
          <w:szCs w:val="18"/>
          <w:color w:val="auto"/>
        </w:rPr>
        <w:t>Our management and board of directors use adjusted EBITDA, adjusted EBITDA margin, adjusted NOI, and adjusted NOI margin, which are non-GAAP financial measures, to evaluate our operating performance, establish budgets and develop operational goals for managing our business. In particular, we believe that the exclusion of the income and expenses eliminated in calculating adjusted EBITDA and adjusted NOI can provide a useful measure of our core operating performance.</w:t>
      </w:r>
    </w:p>
    <w:p>
      <w:pPr>
        <w:spacing w:after="0" w:line="197" w:lineRule="exact"/>
        <w:rPr>
          <w:sz w:val="20"/>
          <w:szCs w:val="20"/>
          <w:color w:val="auto"/>
        </w:rPr>
      </w:pPr>
    </w:p>
    <w:p>
      <w:pPr>
        <w:ind w:left="240" w:right="400" w:firstLine="348"/>
        <w:spacing w:after="0" w:line="268" w:lineRule="auto"/>
        <w:rPr>
          <w:sz w:val="20"/>
          <w:szCs w:val="20"/>
          <w:color w:val="auto"/>
        </w:rPr>
      </w:pPr>
      <w:r>
        <w:rPr>
          <w:rFonts w:ascii="Arial" w:cs="Arial" w:eastAsia="Arial" w:hAnsi="Arial"/>
          <w:sz w:val="18"/>
          <w:szCs w:val="18"/>
          <w:color w:val="auto"/>
        </w:rPr>
        <w:t>We also present these non-GAAP measures because we believe these non-GAAP measures are frequently used by securities analysts, investors and other interested parties as measures of the financial performance of companies in our industry.</w:t>
      </w:r>
    </w:p>
    <w:p>
      <w:pPr>
        <w:spacing w:after="0" w:line="186" w:lineRule="exact"/>
        <w:rPr>
          <w:sz w:val="20"/>
          <w:szCs w:val="20"/>
          <w:color w:val="auto"/>
        </w:rPr>
      </w:pPr>
    </w:p>
    <w:p>
      <w:pPr>
        <w:ind w:left="240" w:right="60" w:firstLine="348"/>
        <w:spacing w:after="0" w:line="288" w:lineRule="auto"/>
        <w:rPr>
          <w:sz w:val="20"/>
          <w:szCs w:val="20"/>
          <w:color w:val="auto"/>
        </w:rPr>
      </w:pPr>
      <w:r>
        <w:rPr>
          <w:rFonts w:ascii="Arial" w:cs="Arial" w:eastAsia="Arial" w:hAnsi="Arial"/>
          <w:sz w:val="16"/>
          <w:szCs w:val="16"/>
          <w:color w:val="auto"/>
        </w:rPr>
        <w:t>These non-GAAP financial measures are not defined under U.S. GAAP and are not presented in accordance with U.S. GAAP. These non-GAAP financial measures have limitations as analytical tools, and when assessing our operating performance, cash flows or our liquidity, investors should not consider them in isolation, or as a substitute for net income (loss), cash flows provided by operating activities or other consolidated statements of operations and cash flow data prepared in accordance with U.S. GAAP. There are a number of limitations related to the use of these non-GAAP financial measures instead of their nearest GAAP equivalent. First, adjusted EBITDA, adjusted EBITDA margin, adjusted NOI, and adjusted NOI margin are not substitutes for gross profit, net income (loss), cash flows provided by operating activities or other consolidated statements of operation and cash flow data prepared in accordance with U.S. GAAP. Second, other companies may calculate these non-GAAP financial measures differently or may use other measures to evaluate their performance, all of which could reduce the usefulness of these non-GAAP financial measures as tools for comparison. Finally, these non-GAAP financial measures do not reflect the impact of net interest expenses, incomes tax</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3209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1870" cy="320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color w:val="auto"/>
        </w:rPr>
        <w:t>benefits, depreciation and amortization, accretion expenses for asset retirement costs, and share-based compensation expenses, each of which have been and may continue to be incurred in our business.</w:t>
      </w:r>
    </w:p>
    <w:p>
      <w:pPr>
        <w:spacing w:after="0" w:line="186" w:lineRule="exact"/>
        <w:rPr>
          <w:sz w:val="20"/>
          <w:szCs w:val="20"/>
          <w:color w:val="auto"/>
        </w:rPr>
      </w:pPr>
    </w:p>
    <w:p>
      <w:pPr>
        <w:ind w:left="240" w:right="440" w:firstLine="348"/>
        <w:spacing w:after="0" w:line="268" w:lineRule="auto"/>
        <w:rPr>
          <w:sz w:val="20"/>
          <w:szCs w:val="20"/>
          <w:color w:val="auto"/>
        </w:rPr>
      </w:pPr>
      <w:r>
        <w:rPr>
          <w:rFonts w:ascii="Arial" w:cs="Arial" w:eastAsia="Arial" w:hAnsi="Arial"/>
          <w:sz w:val="18"/>
          <w:szCs w:val="18"/>
          <w:color w:val="auto"/>
        </w:rPr>
        <w:t>We mitigate these limitations by reconciling the non-GAAP financial measure to the most comparable U.S. GAAP performance measure, all of which should be considered when evaluating our performance.</w:t>
      </w:r>
    </w:p>
    <w:p>
      <w:pPr>
        <w:spacing w:after="0" w:line="186" w:lineRule="exact"/>
        <w:rPr>
          <w:sz w:val="20"/>
          <w:szCs w:val="20"/>
          <w:color w:val="auto"/>
        </w:rPr>
      </w:pPr>
    </w:p>
    <w:p>
      <w:pPr>
        <w:ind w:left="240" w:right="340" w:firstLine="348"/>
        <w:spacing w:after="0" w:line="268" w:lineRule="auto"/>
        <w:rPr>
          <w:sz w:val="20"/>
          <w:szCs w:val="20"/>
          <w:color w:val="auto"/>
        </w:rPr>
      </w:pPr>
      <w:r>
        <w:rPr>
          <w:rFonts w:ascii="Arial" w:cs="Arial" w:eastAsia="Arial" w:hAnsi="Arial"/>
          <w:sz w:val="18"/>
          <w:szCs w:val="18"/>
          <w:color w:val="auto"/>
        </w:rPr>
        <w:t>The following table reconciles our adjusted EBITDA in the years presented to the most directly comparable financial measure calculated and presented in accordance with U.S. GAAP, which is net income or net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jc w:val="right"/>
              <w:ind w:right="156"/>
              <w:spacing w:after="0" w:line="142" w:lineRule="exact"/>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2"/>
                <w:szCs w:val="12"/>
                <w:color w:val="auto"/>
              </w:rPr>
            </w:pPr>
          </w:p>
        </w:tc>
        <w:tc>
          <w:tcPr>
            <w:tcW w:w="800" w:type="dxa"/>
            <w:vAlign w:val="bottom"/>
            <w:gridSpan w:val="2"/>
          </w:tcPr>
          <w:p>
            <w:pPr>
              <w:jc w:val="right"/>
              <w:ind w:right="122"/>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780" w:type="dxa"/>
            <w:vAlign w:val="bottom"/>
          </w:tcPr>
          <w:p>
            <w:pPr>
              <w:jc w:val="right"/>
              <w:ind w:right="178"/>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rPr>
              <w:t>US$</w:t>
            </w:r>
          </w:p>
        </w:tc>
        <w:tc>
          <w:tcPr>
            <w:tcW w:w="146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87"/>
              </w:rPr>
              <w:t>(in thousands,</w:t>
            </w:r>
          </w:p>
        </w:tc>
        <w:tc>
          <w:tcPr>
            <w:tcW w:w="3020" w:type="dxa"/>
            <w:vAlign w:val="bottom"/>
            <w:gridSpan w:val="7"/>
          </w:tcPr>
          <w:p>
            <w:pPr>
              <w:jc w:val="center"/>
              <w:ind w:right="80"/>
              <w:spacing w:after="0" w:line="142" w:lineRule="exact"/>
              <w:rPr>
                <w:sz w:val="20"/>
                <w:szCs w:val="20"/>
                <w:color w:val="auto"/>
              </w:rPr>
            </w:pPr>
            <w:r>
              <w:rPr>
                <w:rFonts w:ascii="Arial" w:cs="Arial" w:eastAsia="Arial" w:hAnsi="Arial"/>
                <w:sz w:val="13"/>
                <w:szCs w:val="13"/>
                <w:b w:val="1"/>
                <w:bCs w:val="1"/>
                <w:color w:val="auto"/>
                <w:w w:val="92"/>
              </w:rPr>
              <w:t>except for numbers of shares and per share data)</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(129,999)</w:t>
            </w:r>
          </w:p>
        </w:tc>
        <w:tc>
          <w:tcPr>
            <w:tcW w:w="9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(98,584)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(276,412)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(430,268)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(62,579)</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Net interest expenses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124,973</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125,546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263,164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406,403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636,973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92,644</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9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(11,983)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(1,366)</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82,753</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145,406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227,355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378,130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741,507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107,848</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Accretion expenses for asset retirement costs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96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27,333</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4,061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64,165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59,843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105,877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15,400</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Gain on remeasurement of equity investment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â€”</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â€”</w:t>
            </w:r>
          </w:p>
        </w:tc>
        <w:tc>
          <w:tcPr>
            <w:tcW w:w="1300" w:type="dxa"/>
            <w:vAlign w:val="bottom"/>
          </w:tcPr>
          <w:p>
            <w:pPr>
              <w:spacing w:after="0"/>
              <w:rPr>
                <w:sz w:val="18"/>
                <w:szCs w:val="18"/>
                <w:color w:val="auto"/>
              </w:rPr>
            </w:pPr>
          </w:p>
        </w:tc>
      </w:tr>
      <w:tr>
        <w:trPr>
          <w:trHeight w:val="222"/>
        </w:trPr>
        <w:tc>
          <w:tcPr>
            <w:tcW w:w="134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38,044</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164,701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270,545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512,349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1,046,538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152,215</w:t>
            </w:r>
          </w:p>
        </w:tc>
        <w:tc>
          <w:tcPr>
            <w:tcW w:w="1300" w:type="dxa"/>
            <w:vAlign w:val="bottom"/>
          </w:tcPr>
          <w:p>
            <w:pPr>
              <w:spacing w:after="0"/>
              <w:rPr>
                <w:sz w:val="19"/>
                <w:szCs w:val="19"/>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513"/>
              <w:spacing w:after="0"/>
              <w:rPr>
                <w:sz w:val="20"/>
                <w:szCs w:val="20"/>
                <w:color w:val="auto"/>
              </w:rPr>
            </w:pPr>
            <w:r>
              <w:rPr>
                <w:rFonts w:ascii="Arial" w:cs="Arial" w:eastAsia="Arial" w:hAnsi="Arial"/>
                <w:sz w:val="18"/>
                <w:szCs w:val="18"/>
                <w:color w:val="auto"/>
                <w:w w:val="94"/>
              </w:rPr>
              <w:t>S-16</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764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1870" cy="576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60" w:firstLine="348"/>
        <w:spacing w:after="0" w:line="268" w:lineRule="auto"/>
        <w:rPr>
          <w:sz w:val="20"/>
          <w:szCs w:val="20"/>
          <w:color w:val="auto"/>
        </w:rPr>
      </w:pPr>
      <w:r>
        <w:rPr>
          <w:rFonts w:ascii="Arial" w:cs="Arial" w:eastAsia="Arial" w:hAnsi="Arial"/>
          <w:sz w:val="18"/>
          <w:szCs w:val="18"/>
          <w:color w:val="auto"/>
        </w:rPr>
        <w:t>The following table reconciles our adjusted NOI in the years presented to the most directly comparable financial measure calculated and presented in accordance with U.S. GAAP, which is net income or net loss:</w:t>
      </w: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jc w:val="right"/>
              <w:ind w:right="155"/>
              <w:spacing w:after="0" w:line="142" w:lineRule="exact"/>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2"/>
                <w:szCs w:val="12"/>
                <w:color w:val="auto"/>
              </w:rPr>
            </w:pPr>
          </w:p>
        </w:tc>
        <w:tc>
          <w:tcPr>
            <w:tcW w:w="800" w:type="dxa"/>
            <w:vAlign w:val="bottom"/>
            <w:gridSpan w:val="2"/>
          </w:tcPr>
          <w:p>
            <w:pPr>
              <w:jc w:val="right"/>
              <w:ind w:right="122"/>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780" w:type="dxa"/>
            <w:vAlign w:val="bottom"/>
          </w:tcPr>
          <w:p>
            <w:pPr>
              <w:jc w:val="right"/>
              <w:ind w:right="176"/>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2"/>
                <w:szCs w:val="12"/>
                <w:color w:val="auto"/>
              </w:rPr>
            </w:pPr>
          </w:p>
        </w:tc>
      </w:tr>
      <w:tr>
        <w:trPr>
          <w:trHeight w:val="142"/>
        </w:trPr>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w w:val="85"/>
              </w:rPr>
              <w:t>(in thousands,</w:t>
            </w:r>
          </w:p>
        </w:tc>
        <w:tc>
          <w:tcPr>
            <w:tcW w:w="3020" w:type="dxa"/>
            <w:vAlign w:val="bottom"/>
            <w:gridSpan w:val="7"/>
          </w:tcPr>
          <w:p>
            <w:pPr>
              <w:jc w:val="center"/>
              <w:ind w:right="80"/>
              <w:spacing w:after="0" w:line="142" w:lineRule="exact"/>
              <w:rPr>
                <w:sz w:val="20"/>
                <w:szCs w:val="20"/>
                <w:color w:val="auto"/>
              </w:rPr>
            </w:pPr>
            <w:r>
              <w:rPr>
                <w:rFonts w:ascii="Arial" w:cs="Arial" w:eastAsia="Arial" w:hAnsi="Arial"/>
                <w:sz w:val="13"/>
                <w:szCs w:val="13"/>
                <w:b w:val="1"/>
                <w:bCs w:val="1"/>
                <w:color w:val="auto"/>
                <w:w w:val="92"/>
              </w:rPr>
              <w:t>except for numbers of shares and per share data)</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(129,999)</w:t>
            </w:r>
          </w:p>
        </w:tc>
        <w:tc>
          <w:tcPr>
            <w:tcW w:w="9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(98,584)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(276,412)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(430,268)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(62,579)</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Net interest expenses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124,973</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125,546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263,164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406,403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636,973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92,644</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9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(11,983)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(1,366)</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82,753</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145,406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227,355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378,130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741,507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107,848</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Accretion expenses for asset retirement costs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96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27,333</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4,061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64,165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59,843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105,877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15,400</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Gain on remeasurement of equity investment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â€”</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â€”</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â€”</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Selling and marketing expenses(1)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38,599</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57,263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64,988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71,728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85,357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12,415</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79,457</w:t>
            </w:r>
          </w:p>
        </w:tc>
        <w:tc>
          <w:tcPr>
            <w:tcW w:w="96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111,403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152,054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165,785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207,255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30,142</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1,597</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3,304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8,324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6,062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12,394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1,803</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Foreign currency exchange loss (gain), net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9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(11,107)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(2,953)</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Government grants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(4,870)</w:t>
            </w:r>
          </w:p>
        </w:tc>
        <w:tc>
          <w:tcPr>
            <w:tcW w:w="960" w:type="dxa"/>
            <w:vAlign w:val="bottom"/>
            <w:gridSpan w:val="3"/>
          </w:tcPr>
          <w:p>
            <w:pPr>
              <w:jc w:val="right"/>
              <w:ind w:right="33"/>
              <w:spacing w:after="0"/>
              <w:rPr>
                <w:sz w:val="20"/>
                <w:szCs w:val="20"/>
                <w:color w:val="auto"/>
              </w:rPr>
            </w:pPr>
            <w:r>
              <w:rPr>
                <w:rFonts w:ascii="Arial" w:cs="Arial" w:eastAsia="Arial" w:hAnsi="Arial"/>
                <w:sz w:val="18"/>
                <w:szCs w:val="18"/>
                <w:color w:val="auto"/>
              </w:rPr>
              <w:t>(3,915)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9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r>
      <w:tr>
        <w:trPr>
          <w:trHeight w:val="222"/>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Adjusted NOI</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154,114</w:t>
            </w:r>
          </w:p>
        </w:tc>
        <w:tc>
          <w:tcPr>
            <w:tcW w:w="960" w:type="dxa"/>
            <w:vAlign w:val="bottom"/>
            <w:gridSpan w:val="3"/>
          </w:tcPr>
          <w:p>
            <w:pPr>
              <w:jc w:val="right"/>
              <w:ind w:right="93"/>
              <w:spacing w:after="0"/>
              <w:rPr>
                <w:sz w:val="20"/>
                <w:szCs w:val="20"/>
                <w:color w:val="auto"/>
              </w:rPr>
            </w:pPr>
            <w:r>
              <w:rPr>
                <w:rFonts w:ascii="Arial" w:cs="Arial" w:eastAsia="Arial" w:hAnsi="Arial"/>
                <w:sz w:val="18"/>
                <w:szCs w:val="18"/>
                <w:color w:val="auto"/>
              </w:rPr>
              <w:t>320,475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475,100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764,726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1,322,585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192,363</w:t>
            </w:r>
          </w:p>
        </w:tc>
      </w:tr>
      <w:tr>
        <w:trPr>
          <w:trHeight w:val="102"/>
        </w:trPr>
        <w:tc>
          <w:tcPr>
            <w:tcW w:w="18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900" w:right="220" w:hanging="549"/>
        <w:spacing w:after="0" w:line="268" w:lineRule="auto"/>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and marketing expenses, general and administrative expenses and research and development expenses exclude depreciation and amortization and share-based compensation expenses.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Currency Translation and Exchange Rates</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This prospectus supplement contains translations of Renminbi amounts into U.S. dollars at specific rates solely for the convenience of the reader. Unless otherwise noted, all translations from Renminbi to U.S. dollars and from U.S. dollars to Renminbi in this prospectus supplement were made at the rate of RMB6.8755 to US$1.00, the noon buying rate in effect on December 31, 2018 in the H.10 statistical release of the Federal Reserve Board. We make no representation that the Renminbi or U.S. dollar amounts referred to in this prospectus supplement could have been or could be converted into U.S. dollars or Renminbi, as the case may be, at any particular rate or at all. The Chinese government imposes control over its foreign currency reserves in part through direct regulation of the conversion of Renminbi into foreign exchange and through restrictions on foreign trade. On March 8, 2019, the noon buying rate for Renminbi was RMB6.7201 to US$1.00.</w:t>
      </w:r>
    </w:p>
    <w:p>
      <w:pPr>
        <w:spacing w:after="0" w:line="172"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supplement or will use in the preparation of our periodic reports or any other information to be provided to you. For all dates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415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1870" cy="415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periods, the exchange rate refers to the exchange rate as set forth in the H.10 statistical release of the Federal Reserve Board.</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3"/>
                <w:szCs w:val="13"/>
                <w:b w:val="1"/>
                <w:bCs w:val="1"/>
                <w:color w:val="auto"/>
              </w:rPr>
              <w:t>Noon Buying Rate</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Period End</w:t>
            </w:r>
          </w:p>
        </w:tc>
        <w:tc>
          <w:tcPr>
            <w:tcW w:w="160" w:type="dxa"/>
            <w:vAlign w:val="bottom"/>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Average(1)</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3"/>
                <w:szCs w:val="13"/>
                <w:b w:val="1"/>
                <w:bCs w:val="1"/>
                <w:color w:val="auto"/>
              </w:rPr>
              <w:t>Low</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2"/>
                <w:szCs w:val="12"/>
                <w:color w:val="auto"/>
              </w:rPr>
            </w:pPr>
          </w:p>
        </w:tc>
      </w:tr>
      <w:tr>
        <w:trPr>
          <w:trHeight w:val="142"/>
        </w:trPr>
        <w:tc>
          <w:tcPr>
            <w:tcW w:w="2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right"/>
              <w:ind w:right="480"/>
              <w:spacing w:after="0" w:line="142" w:lineRule="exact"/>
              <w:rPr>
                <w:sz w:val="20"/>
                <w:szCs w:val="20"/>
                <w:color w:val="auto"/>
              </w:rPr>
            </w:pPr>
            <w:r>
              <w:rPr>
                <w:rFonts w:ascii="Arial" w:cs="Arial" w:eastAsia="Arial" w:hAnsi="Arial"/>
                <w:sz w:val="13"/>
                <w:szCs w:val="13"/>
                <w:b w:val="1"/>
                <w:bCs w:val="1"/>
                <w:color w:val="auto"/>
              </w:rPr>
              <w:t>(RMB per US$1.00)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34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84"/>
              </w:rPr>
              <w:t>2013</w:t>
            </w:r>
          </w:p>
        </w:tc>
        <w:tc>
          <w:tcPr>
            <w:tcW w:w="3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6.2438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6.0537</w:t>
            </w:r>
          </w:p>
        </w:tc>
      </w:tr>
      <w:tr>
        <w:trPr>
          <w:trHeight w:val="216"/>
        </w:trPr>
        <w:tc>
          <w:tcPr>
            <w:tcW w:w="2340" w:type="dxa"/>
            <w:vAlign w:val="bottom"/>
          </w:tcPr>
          <w:p>
            <w:pPr>
              <w:jc w:val="right"/>
              <w:ind w:right="1892"/>
              <w:spacing w:after="0"/>
              <w:rPr>
                <w:sz w:val="20"/>
                <w:szCs w:val="20"/>
                <w:color w:val="auto"/>
              </w:rPr>
            </w:pPr>
            <w:r>
              <w:rPr>
                <w:rFonts w:ascii="Arial" w:cs="Arial" w:eastAsia="Arial" w:hAnsi="Arial"/>
                <w:sz w:val="18"/>
                <w:szCs w:val="18"/>
                <w:color w:val="auto"/>
                <w:w w:val="84"/>
              </w:rPr>
              <w:t>2014</w:t>
            </w:r>
          </w:p>
        </w:tc>
        <w:tc>
          <w:tcPr>
            <w:tcW w:w="30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6.2046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6.1704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6.2591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6.0402</w:t>
            </w:r>
          </w:p>
        </w:tc>
      </w:tr>
      <w:tr>
        <w:trPr>
          <w:trHeight w:val="216"/>
        </w:trPr>
        <w:tc>
          <w:tcPr>
            <w:tcW w:w="234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84"/>
              </w:rPr>
              <w:t>2015</w:t>
            </w:r>
          </w:p>
        </w:tc>
        <w:tc>
          <w:tcPr>
            <w:tcW w:w="3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6.4778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6.2869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6.4896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6.1870</w:t>
            </w:r>
          </w:p>
        </w:tc>
      </w:tr>
      <w:tr>
        <w:trPr>
          <w:trHeight w:val="216"/>
        </w:trPr>
        <w:tc>
          <w:tcPr>
            <w:tcW w:w="2340" w:type="dxa"/>
            <w:vAlign w:val="bottom"/>
          </w:tcPr>
          <w:p>
            <w:pPr>
              <w:jc w:val="right"/>
              <w:ind w:right="1892"/>
              <w:spacing w:after="0"/>
              <w:rPr>
                <w:sz w:val="20"/>
                <w:szCs w:val="20"/>
                <w:color w:val="auto"/>
              </w:rPr>
            </w:pPr>
            <w:r>
              <w:rPr>
                <w:rFonts w:ascii="Arial" w:cs="Arial" w:eastAsia="Arial" w:hAnsi="Arial"/>
                <w:sz w:val="18"/>
                <w:szCs w:val="18"/>
                <w:color w:val="auto"/>
                <w:w w:val="84"/>
              </w:rPr>
              <w:t>2016</w:t>
            </w:r>
          </w:p>
        </w:tc>
        <w:tc>
          <w:tcPr>
            <w:tcW w:w="30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6.9430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6.6549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6.9580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6.4480</w:t>
            </w:r>
          </w:p>
        </w:tc>
      </w:tr>
      <w:tr>
        <w:trPr>
          <w:trHeight w:val="216"/>
        </w:trPr>
        <w:tc>
          <w:tcPr>
            <w:tcW w:w="234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84"/>
              </w:rPr>
              <w:t>2017</w:t>
            </w:r>
          </w:p>
        </w:tc>
        <w:tc>
          <w:tcPr>
            <w:tcW w:w="3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6.5063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6.9575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6.4773</w:t>
            </w:r>
          </w:p>
        </w:tc>
      </w:tr>
      <w:tr>
        <w:trPr>
          <w:trHeight w:val="216"/>
        </w:trPr>
        <w:tc>
          <w:tcPr>
            <w:tcW w:w="2340" w:type="dxa"/>
            <w:vAlign w:val="bottom"/>
          </w:tcPr>
          <w:p>
            <w:pPr>
              <w:jc w:val="right"/>
              <w:ind w:right="1892"/>
              <w:spacing w:after="0"/>
              <w:rPr>
                <w:sz w:val="20"/>
                <w:szCs w:val="20"/>
                <w:color w:val="auto"/>
              </w:rPr>
            </w:pPr>
            <w:r>
              <w:rPr>
                <w:rFonts w:ascii="Arial" w:cs="Arial" w:eastAsia="Arial" w:hAnsi="Arial"/>
                <w:sz w:val="18"/>
                <w:szCs w:val="18"/>
                <w:color w:val="auto"/>
                <w:w w:val="84"/>
              </w:rPr>
              <w:t>2018</w:t>
            </w:r>
          </w:p>
        </w:tc>
        <w:tc>
          <w:tcPr>
            <w:tcW w:w="30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6.8755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6.6292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6.9737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6.2649</w:t>
            </w:r>
          </w:p>
        </w:tc>
      </w:tr>
      <w:tr>
        <w:trPr>
          <w:trHeight w:val="216"/>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September</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6.8680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6.8880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6.8270</w:t>
            </w:r>
          </w:p>
        </w:tc>
      </w:tr>
      <w:tr>
        <w:trPr>
          <w:trHeight w:val="216"/>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October</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6.9737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6.9191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6.9737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6.8680</w:t>
            </w:r>
          </w:p>
        </w:tc>
      </w:tr>
      <w:tr>
        <w:trPr>
          <w:trHeight w:val="216"/>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6.9558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6.9558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6.8894</w:t>
            </w:r>
          </w:p>
        </w:tc>
      </w:tr>
      <w:tr>
        <w:trPr>
          <w:trHeight w:val="216"/>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December</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6.8755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6.8837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6.9077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6.8343</w:t>
            </w:r>
          </w:p>
        </w:tc>
      </w:tr>
      <w:tr>
        <w:trPr>
          <w:trHeight w:val="216"/>
        </w:trPr>
        <w:tc>
          <w:tcPr>
            <w:tcW w:w="234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84"/>
              </w:rPr>
              <w:t>2019</w:t>
            </w:r>
          </w:p>
        </w:tc>
        <w:tc>
          <w:tcPr>
            <w:tcW w:w="3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January</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6.6958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6.7863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6.8708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6.6958</w:t>
            </w:r>
          </w:p>
        </w:tc>
      </w:tr>
      <w:tr>
        <w:trPr>
          <w:trHeight w:val="216"/>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February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6.6822</w:t>
            </w:r>
          </w:p>
        </w:tc>
      </w:tr>
      <w:tr>
        <w:trPr>
          <w:trHeight w:val="222"/>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March (through March 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6.7201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6.7098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6.7201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6.7045</w:t>
            </w:r>
          </w:p>
        </w:tc>
      </w:tr>
      <w:tr>
        <w:trPr>
          <w:trHeight w:val="102"/>
        </w:trPr>
        <w:tc>
          <w:tcPr>
            <w:tcW w:w="234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Source: Federal Reserve Statistical Release</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Note:</w:t>
      </w:r>
    </w:p>
    <w:p>
      <w:pPr>
        <w:spacing w:after="0" w:line="252" w:lineRule="exact"/>
        <w:rPr>
          <w:sz w:val="20"/>
          <w:szCs w:val="20"/>
          <w:color w:val="auto"/>
        </w:rPr>
      </w:pPr>
    </w:p>
    <w:p>
      <w:pPr>
        <w:ind w:left="1900" w:hanging="549"/>
        <w:spacing w:after="0" w:line="268" w:lineRule="auto"/>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averages are calculated using the average of the rates on the last business day of each month during the relevant year. Monthly averages are calculated using the average of the daily rates during the relevant month.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Any investment in the ADSs involves a high degree of risk. You should carefully consider the risk factors set forth below together with the other information contained in this prospectus supplement, the accompanying prospectus and the documents incorporated by reference, before deciding whether to purchase the ADSs. In addition, you should carefully consider the matters discussed under "Risk Factors" in our annual report on Form 20-F which is incorporated by reference in this prospectus supplement. Any of the following risks and the risks described in the annual report, and additional risks and uncertainties not currently known to us or those we currently view to be immaterial, may also materially and adversely affect our business, financial condition or results of operations. In such case, you may lose all or part of your original investment.</w:t>
      </w:r>
    </w:p>
    <w:p>
      <w:pPr>
        <w:spacing w:after="0" w:line="200" w:lineRule="exact"/>
        <w:rPr>
          <w:sz w:val="20"/>
          <w:szCs w:val="20"/>
          <w:color w:val="auto"/>
        </w:rPr>
      </w:pPr>
    </w:p>
    <w:p>
      <w:pPr>
        <w:spacing w:after="0" w:line="20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ADSs may be volatile, which could result in substantial losses to you.</w:t>
      </w:r>
    </w:p>
    <w:p>
      <w:pPr>
        <w:spacing w:after="0" w:line="225" w:lineRule="exact"/>
        <w:rPr>
          <w:sz w:val="20"/>
          <w:szCs w:val="20"/>
          <w:color w:val="auto"/>
        </w:rPr>
      </w:pPr>
    </w:p>
    <w:p>
      <w:pPr>
        <w:ind w:right="160" w:firstLine="348"/>
        <w:spacing w:after="0" w:line="286" w:lineRule="auto"/>
        <w:rPr>
          <w:sz w:val="20"/>
          <w:szCs w:val="20"/>
          <w:color w:val="auto"/>
        </w:rPr>
      </w:pPr>
      <w:r>
        <w:rPr>
          <w:rFonts w:ascii="Arial" w:cs="Arial" w:eastAsia="Arial" w:hAnsi="Arial"/>
          <w:sz w:val="16"/>
          <w:szCs w:val="16"/>
          <w:color w:val="auto"/>
        </w:rPr>
        <w:t>The trading prices of our ADSs have been, and are likely to continue to be, volatile and could fluctuate widely due to factors beyond our control. This may happen because of broad market and industry factors, like the performance and fluctuation in the market prices or the underperformance or deteriorating financial results of other listed companies based in China.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including Internet and e-commerce companies,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such as the large decline in share prices in the United States, China and other jurisdictions in late 2008, early 2009, the second half of 2011 and in 2015, which may have a material and adverse effect on the trading price of our ADSs.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factors, including the following:</w:t>
      </w:r>
    </w:p>
    <w:p>
      <w:pPr>
        <w:sectPr>
          <w:pgSz w:w="11900" w:h="16838" w:orient="portrait"/>
          <w:cols w:equalWidth="0" w:num="1">
            <w:col w:w="11520"/>
          </w:cols>
          <w:pgMar w:left="160" w:top="51" w:right="219"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regulatory developments affecting us or our industry, customers or suppliers;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announcements of studies and reports relating to the quality of our service offerings or those of our competitors;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economic performance or market valuations of other data center services companies;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financial estimates by securities research analysts;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conditions in the market for data center services;</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announcements by us or our competitors of new product and service offerings, acquisitions, strategic relationships, joint ventures, capital raisings or capital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additions to or departures of our senior management;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40"/>
          </w:cols>
          <w:pgMar w:left="160" w:top="51" w:right="219" w:bottom="1440" w:gutter="0" w:footer="0" w:header="0"/>
          <w:type w:val="continuous"/>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560"/>
          </w:cols>
          <w:pgMar w:left="160" w:top="51" w:right="1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fluctuations of exchange rates between the RMB and the U.S. dollar;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release or expiry of lock-up or other transfer restrictions on our outstanding shares or ADSs;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sales or perceived potential sales of additional Class A ordinary shares or ADSs; and</w:t>
      </w:r>
    </w:p>
    <w:p>
      <w:pPr>
        <w:spacing w:after="0" w:line="2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attacks by short sellers, including the publication of negative opinions regarding us and our business prospects in order to create negative market momentum and generate profits for themselves after selling a stock short. See "â€”Techniques employed by short sellers may drive down the market price of our ADSs."</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66"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have in the past been, and may in the future be, the subject of unfavorable allegations made by a short seller, which allegations were followed by periods of instability in the market price of our ADSs. If we again were to become the subject of any unfavorable allegations, whether such allegations are proven to be true or untrue, it is not clear what effect such negative publicity could have on us, and we could have to expend a significant amount of resources to investigate such allegations and/or defend ourselves. While we would strongly defend against any such short seller attacks, we may be constrained in the manner in which it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its business operations and stockholders equity, and any investment in our ADSs could be greatly reduced or rendered worthless.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price appreciation of our ADSs for return on your investment.</w:t>
      </w:r>
    </w:p>
    <w:p>
      <w:pPr>
        <w:spacing w:after="0" w:line="248"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See "Dividend Policy." Therefore, you should not rely on an investment in our ADSs as a source for any future dividend income.</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Sales of our ADSs in the public market, after this offering, or the perception that these sales could occur, could cause the market price of our ADSs to decline significantly. Upon completion of this offering, we will have 1,102,592,032 ordinary shares outstanding, comprising 1,035,001,696 Class A ordinary shares (or 1,049,330,048 Class A ordinary shares if the underwriters' option to purchase additional ADSs is exercised in full), including 5,208,216 Class A ordinary shares held by JPMorgan Chase Bank, N.A., as depositary, which are reserved for future delivery upon exercise or vesting of share awards granted under our share incentive plans, and 67,590,336 Class B ordinary shares. These figures exclude any Class A ordinary shares issuable upon conversion of our convertible senior notes. We have outstanding convertible senior notes in the aggregate principal amount of US$300 million due June 1, 2025. Holders may, at their option, convert their notes into our ADSs at an initial conversion rate of 19.3865 of our ADSs per US$1,000 principal amount of notes, or an aggregate of approximately 5,815,950 ADSs, representing 46,527,600 Class A ordinary shares, assuming conversion of the entire US$300 million aggregate principal amount of notes at such initial conversion rate. Upon completion of the Concurrent Private Convertible Preferred Offering, we will have US$150 million aggregate principal amount of convertible preferred shares outstanding. Holders may, at their option, convert their convertible preferred shares into our Class A ordinary shares at a conversion rate corresponding to a conversion price of US$35.60 per ADS, for an aggregate of approximately 4,213,483 ADSs, representing 33,707,864 Class A ordinary shares, assuming conversion of the entire US$150 million aggregate principal amount of convertible preferred shares at such conversion rate. This offering is not conditioned on the closing of the Concurrent Private Convertible Preferred Offering, and the Concurrent Private Convertible Preferred Offering is not conditioned on the closing of this offering. All of the ADSs sold in this offering and the Class A ordinary shares they represent will be freely transferable without restriction or further registration under the Securities Act, except for (i) any ADSs held by our "affiliates", and (ii) any ADSs purchased by STT GDC to the extent it is allocated all or a portion of the 6,373,134 ADSs that it has indicated an interest in purchasing in this offering, which will be subject to a 90-day lock-up agreement described below. Approximately 40.4% of our Class A ordinary shares and all of our Class B ordinary shares beneficially owned by persons or entities who are subject to the lock-up agreement (including the ADSs that STT GDC has indicated an interest to purchase) after this offering will be restricted as a result of lock-up agreements described elsewhere in this prospectus supplement but will become eligible to be sold at various times beginning 90 days after this offering. Our other Class A ordinary shares may be available for sale immediately after the date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prospectus supplement, subject to volume and other restrictions as applicable under Rules 144 and 701 under the Securities Act. Any or all of these ordinary shares may be released prior to the expiration of the applicable lock-up period or market stand-off period at the discretion of J.P. Morgan Securities LLC, Morgan Stanley &amp; Co. LLC and RBC Capital Markets, LLC, or our board of directors, respectively. To the extent shares are released before the expiration of the applicable lock-up period and sold into the market, the market price of our ADSs could decline significantly. See "Shares Eligible for Future Sale."</w:t>
      </w:r>
    </w:p>
    <w:p>
      <w:pPr>
        <w:spacing w:after="0" w:line="16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Certain major holders of our Class A ordinary shares have the right to cause us to register under the Securities Act the sale of their shares, subject to the applicable lock-up periods in connection with our initial public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 significantly. See "Shares Eligible for Future Sale."</w:t>
      </w:r>
    </w:p>
    <w:p>
      <w:pPr>
        <w:spacing w:after="0" w:line="16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adopted share incentive plans, under which we have the discretion to grant a broad range of equity-based awards to eligible participants. See "Item 6. Directors, Senior Management and Employeesâ€”B. Compensationâ€”Share Incentive Plans" in our annual report on Form 20-F for the fiscal year ended December 31, 2018. We intend to register all ordinary shares that we may issue under these share incentive plans. Once we register these ordinary shares, they can be freely sold in the public market in the form of ADSs upon issuance, subject to volume limitations applicable to affiliates and the lock-up agreements described in the "Underwriting" section of this prospectus supplement. If a large number of our ordinary shares or securities convertible into our ordinary shares are sold in the public market in the form of ADSs after they become eligible for sale, the sales could reduce the trading price of our ADSs and impede our ability to raise future capital. In addition, any ordinary shares that we issue under our share incentive plans would dilute the percentage ownership held by the investors who purchase ADSs in this offering.</w:t>
      </w:r>
    </w:p>
    <w:p>
      <w:pPr>
        <w:spacing w:after="0" w:line="17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The ADSs are equity and are subordinate to our existing and future indebtedness, the convertible preferred stock, if issued in the Concurrent Private Convertible Preferred Offering, and any preferred stock we may issue in the future.</w:t>
      </w:r>
    </w:p>
    <w:p>
      <w:pPr>
        <w:spacing w:after="0" w:line="186"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ADSs are our equity interests and do not constitute indebtedness. As such, ADSs will rank junior to all indebtedness and other non-equity claims on us with respect to assets available to satisfy claims on us, including in a liquidation of us. Additionally, holders of our ADSs may be subject to prior dividend and liquidation rights of any holders of our preferred stock or depositary shares representing such preferred stock then outstanding.</w:t>
      </w:r>
    </w:p>
    <w:p>
      <w:pPr>
        <w:spacing w:after="0" w:line="16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ADSs will rank junior to our convertible preferred stock, if and when issued in the Concurrent Private Convertible Preferred Offering, with respect to the payment of dividends and amounts payable in the event of our liquidation, dissolution or winding-up of our affairs. This means that, unless accumulated dividends have been paid on all our convertible preferred stock, if and when issued, through the most recently completed dividend period, no dividends may be declared or paid on our ADSs and we will not be permitted to repurchase any of our ADSs, subject to limited exceptions. Likewise, in the event of our voluntary or involuntary liquidation, dissolution or winding-up of our affairs, no distribution of our assets may be made to holders of our ADSs until we have paid to holders of our preferred stock, if and when issued, a liquidation preference equal to the greater of (i) the stated value per convertible preferred share, plus an amount equal to any dividends accumulated but unpaid thereon (whether or not declared), and (ii) the payment such holders would have received had such holders, immediately prior to such liquidation, converted their convertible preferred shares into Class A ordinary shares (at the then applicable conversion 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board of directors is authorized to issue additional classes or series of preferred stock without any action on the part of the shareholders. The board of directors also has the power, without shareholder approval, to set the terms of any such classes or series of preferred stock that may be issued, including voting rights, dividend rights, and preferences over our ADSs with respect to dividends or upon our dissolution, winding-up and liquidation and other terms. If we issue preferred stock in the future that has a preference over our ADSs with respect to the payment of dividends or upon our liquidation, dissolution, or winding up, or if we issue preferred stock with voting rights that dilute the voting power of our ADSs, the rights of holders of our ADSs or the market price of our ADSs could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this offering by one of our existing shareholders could reduce the available public float for our ADSs.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STT GDC, one of our major shareholders which is affiliated with, and has the right to appoint, certain of our directors, has indicated an interest in purchasing up to 6,373,134 ADSs in this offering at the public offering price. However, because indications of interest are not binding agreements or commitments to purchase, the underwriters could determine to sell more, less or no shares to STT GDC and STT GDC could determine to purchase more, less or no ADSs in this offering. The underwriters will receive the same underwriting discounts and commissions on any ADSs purchased by STT GDC as they will on any other ADSs sold to the public in this offering. If STT GDC was to purchase all of these ADSs, it would own approximately 36.8% of our outstanding ordinary shares after this offering, based on the number of ordinary shares outstanding as of December 31, 2018.</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If STT GDC is allocated all or a portion of the ADSs for which it has indicated an interest in purchasing in this offering and has in fact purchased such ADSs, such purchases would reduce the available public float for our Class A ordinary shares because STT GDC would be restricted from selling the ADSs that it has so acquired in this offering by a lock-up agreement STT GDC entered into with the underwriters and by restrictions under applicable securities laws. As a result, any purchase of ADSs by STT GDC in this offering may reduce the liquidity of our ADSs relative to what it would have been had these ADSs been purchased by investors that were not affiliated with us.</w:t>
      </w:r>
    </w:p>
    <w:p>
      <w:pPr>
        <w:spacing w:after="0" w:line="201"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b w:val="1"/>
          <w:bCs w:val="1"/>
          <w:i w:val="1"/>
          <w:iCs w:val="1"/>
          <w:color w:val="auto"/>
        </w:rPr>
        <w:t>Our dual-class voting structure and concentrated ownership limits your ability to influence corporate matters and could discourage others from pursuing any change of control transactions that holders of our Class A ordinary shares and ADSs may view as beneficial.</w:t>
      </w:r>
    </w:p>
    <w:p>
      <w:pPr>
        <w:spacing w:after="0" w:line="141"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discussed under "Item 3. Key Informationâ€”D. Risk Factorsâ€”Risks Related to Our Corporate Structureâ€”Our corporate actions are substantially controlled by our principal shareholders, including our founder, chairman and chief executive officer, William Wei Huang, who have the ability to control or exert significant influence over important corporate matters that require approval of shareholders, which may deprive you of an opportunity to receive a premium for your ADSs and materially reduce the value of your investment" in our annual report on Form 20-F for the fiscal year ended December 31, 2018, Mr. William Wei Huang, our founder, chairman and chief executive officer and our other principal shareholders have considerable influence over matters requiring shareholder approval. To the extent that their interests differ from yours, you may be disadvantaged by any action that they may seek to pursue. This concentrated control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as holders of ADSs, may have fewer rights than holders of our ordinary shares and must act through the depositary to exercise those rights.</w:t>
      </w:r>
    </w:p>
    <w:p>
      <w:pPr>
        <w:spacing w:after="0" w:line="24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Holders of ADSs do not have the same rights of our shareholders and may only exercise the voting rights with respect to the underlying Class A ordinary shares in accordance with the provisions of the deposit agreement. Under our amended articles of association, the minimum notice period required to convene a general meeting will be 10 days. When a general meeting is convened, you may not receive sufficient notice of a shareholders' meeting to permit you to withdraw your Class A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there can be no assurance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call a shareholders'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receive cash dividends if the depositary decides it is impractical to make them available to you.</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depositary will pay cash dividends on the ADSs only to the extent that we decide to distribute dividends on our ordinary shares or other deposited securities, and we do not have any present plan to pay any cash dividends in the foreseeable future. See "Dividend Policy." To the extent that there is a distribution,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the price of our ADS.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currently plan to use the net proceeds of this offering for the development and acquisition of additional data centers and for general corporate purposes. Our management will have considerable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the price of our ADS. The net proceeds from this offering may be placed in investments that do not produce income or that lose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are a company incorporated under the laws of the Cayman Islands. We conduct our operations outside the United States and substantially all of our assets are located outside the United States. In addition, all of our directors and executive officers and the experts named in this prospectus supplement reside outside the United States, and most of their assets are located outside the United States. As a result, it may be difficult or impossible for you to bring an action against us or against them in the United States in the event that you believe that your rights have been infringed under the U.S. federal securities laws or otherwise. Even if you are successful in bringing an action of this kind, the laws of the Cayman Islands, the PRC or other relevant jurisdiction may render you unable to enforce a judgment against our assets or the assets of our directors and officers.</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an exempted company limited by shares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3"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or to obtain copies of lists of shareholders of these companies. Our directors will have discretion under the post-offering memorandum and articles of association we expect to adopt,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shareholder resolution or to solicit proxies from other shareholders in connection with a proxy contest.</w:t>
      </w:r>
    </w:p>
    <w:p>
      <w:pPr>
        <w:spacing w:after="0" w:line="225" w:lineRule="exact"/>
        <w:rPr>
          <w:sz w:val="20"/>
          <w:szCs w:val="20"/>
          <w:color w:val="auto"/>
        </w:rPr>
      </w:pPr>
    </w:p>
    <w:p>
      <w:pPr>
        <w:ind w:right="520" w:firstLine="341"/>
        <w:spacing w:after="0" w:line="331"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41" w:lineRule="exact"/>
        <w:rPr>
          <w:sz w:val="20"/>
          <w:szCs w:val="20"/>
          <w:color w:val="auto"/>
        </w:rPr>
      </w:pPr>
    </w:p>
    <w:p>
      <w:pPr>
        <w:ind w:right="700"/>
        <w:spacing w:after="0" w:line="331" w:lineRule="auto"/>
        <w:rPr>
          <w:sz w:val="20"/>
          <w:szCs w:val="20"/>
          <w:color w:val="auto"/>
        </w:rPr>
      </w:pPr>
      <w:r>
        <w:rPr>
          <w:rFonts w:ascii="Arial" w:cs="Arial" w:eastAsia="Arial" w:hAnsi="Arial"/>
          <w:sz w:val="16"/>
          <w:szCs w:val="16"/>
          <w:b w:val="1"/>
          <w:bCs w:val="1"/>
          <w:i w:val="1"/>
          <w:iCs w:val="1"/>
          <w:color w:val="auto"/>
        </w:rPr>
        <w:t>Our articles of association contain anti-takeover provisions that could discourage a third party from acquiring us, which could limit our shareholders' opportunity to sell their shares, including Class A ordinary shares represented by our ADSs, at a premium.</w:t>
      </w:r>
    </w:p>
    <w:p>
      <w:pPr>
        <w:spacing w:after="0" w:line="14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adopted amended and restated articles of association that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 In addition, our amended articles of association contain other provisions that could limit the ability of third parties to acquire control of our company or cause us to engage in a transaction resulting in a change of control, as defined in our amended articles of association, including: a provision that entitles Class B ordinary shares to 20 votes per share at general meetings of our shareholders with respect to the election of a simple majority of our directors; a provision that entitles Class B shareholders to nominate one less than a simple majority, or five of our directors; a provision that allows one of our principal shareholders to appoint up to three directors to our board of directors for so long as they beneficially own certain percentages of our issued share capital; and a classified board with staggered terms for our directors, which will prevent the replacement of a majority of directors at one time.</w:t>
      </w:r>
    </w:p>
    <w:p>
      <w:pPr>
        <w:spacing w:after="0" w:line="179"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foreign private issuer within the meaning of the rules under the Exchange Act, and as such we are exempt from certain provisions applicable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public companies.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Because we qualify as a foreign private issuer under the Exchange Act, we are exempt from certain provisions of the securities rules and regulations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ectPr>
          <w:pgSz w:w="11900" w:h="16838" w:orient="portrait"/>
          <w:cols w:equalWidth="0" w:num="1">
            <w:col w:w="11560"/>
          </w:cols>
          <w:pgMar w:left="160" w:top="51" w:right="179" w:bottom="1440" w:gutter="0" w:footer="0" w:header="0"/>
        </w:sect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rules under the Exchange Act requiring the filing with the SEC of quarterly reports on Form 10-Q or current reports on Form 8-K;</w:t>
      </w:r>
    </w:p>
    <w:p>
      <w:pPr>
        <w:spacing w:after="0" w:line="27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selective disclosure rules by issuers of material nonpublic information under Regulation FD.</w:t>
      </w:r>
    </w:p>
    <w:p>
      <w:pPr>
        <w:spacing w:after="0" w:line="25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94"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As a Cayman Islands company listed on the Nasdaq Global Market, we are subject to the Nasdaq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instance, we are not required to:</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have a majority of the board be independent (although all of the members of the audit committee must be independent under the Exchange Act);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have a compensation committee or a nominations or corporate governance committee consisting entirely of independent directors; or</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have regularly scheduled executive sessions with only independent directors each year.</w:t>
      </w:r>
    </w:p>
    <w:p>
      <w:pPr>
        <w:spacing w:after="0" w:line="25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have relied on and intend to continue to rely on some of these exemptions. As a result, you may not be provided with the benefits of certain corporate governance requirements of Nasdaq.</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become a passive foreign investment company, or PFIC, which could result in adverse United States federal income tax consequences to United States investors.</w:t>
      </w:r>
    </w:p>
    <w:p>
      <w:pPr>
        <w:spacing w:after="0" w:line="186"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Based on the past and projected composition of our income and assets, and the valuation of our assets, including goodwill, we do not believe we were a PFIC for our most recent taxable year and we do not expect to become one in the future, although there can be no assurance in this regard. The determination of whether or not we are a PFIC is made on an annual basis and will depend on the composition of our income and assets from time to time. Specifically, for any taxable year, we will be classified as a PFIC for United States federal income tax purposes if either (i) 75% or more of our gross income in that taxable year is passive income or</w:t>
      </w:r>
    </w:p>
    <w:p>
      <w:pPr>
        <w:spacing w:after="0" w:line="2" w:lineRule="exact"/>
        <w:rPr>
          <w:sz w:val="20"/>
          <w:szCs w:val="20"/>
          <w:color w:val="auto"/>
        </w:rPr>
      </w:pPr>
    </w:p>
    <w:p>
      <w:pPr>
        <w:ind w:right="160" w:firstLine="8"/>
        <w:spacing w:after="0" w:line="302"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percentage of our assets (which includes cash) by value in that taxable year which produce, or are held for the production of, passive income is at least 50%. The calculation of the value of our assets will be based, in part, on the quarterly market value of our ADSs, which is subject to change. See "Taxationâ€”Material United States Federal Income Tax Considerationsâ€”Passive Foreign Investment Company."</w:t>
      </w:r>
    </w:p>
    <w:p>
      <w:pPr>
        <w:spacing w:after="0" w:line="163"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there is uncertainty as to the treatment of our corporate structure and ownership of our consolidated VIEs for United States federal income tax purposes. For United States federal income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tax purposes, we consider ourselves to own the stock of our consolidated VIEs. If it is determined, contrary to our view, that we do not own the stock of our consolidated VIEs for United States federal income tax purposes (for instance, because the relevant PRC authorities do not respect these arrangements), we may be treated as a PFIC.</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we are a PFIC for any taxable year during which you hold our ADSs or Class A ordinary shares, our PFIC status could result in adverse United States federal income tax consequences to you if you are a United States Holder, as defined under "Taxationâ€”Material United States Federal Income Tax Considerations." For example, if we are or become a PFIC, you may become subject to increased tax liabilities under United States federal income tax laws and regulations and will become subject to burdensome reporting requirements. See "Taxationâ€”Material United States Federal Income Tax Considerationsâ€”Passive Foreign Investment Company." There can be no assurance that we will not be a PFIC for 2019 or any future taxable year. Simpson Thacher &amp; Bartlett LLP, our United States counsel, does not express any opinion about our status as a PFIC in any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continue to incur increased costs as a result of being a public company, particularly since we have ceased to qualify as an "emerging growth company."</w:t>
      </w:r>
    </w:p>
    <w:p>
      <w:pPr>
        <w:spacing w:after="0" w:line="26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Since the completion of our initial public offering, we have incurred significant legal, accounting and other expenses that we did not incur as a private company. The Sarbanes-Oxley Act, as well as rules subsequently implemented by the SEC and Nasdaq, impose various requirements on the corporate governance practices of public companies. As of December 31, 2018, we are deemed to be a "large accelerated filer" as the term is defined in Rule 12b-2 of the Exchange Act, and we thereby have ceased to be an "emerging growth company" as the term is defined in the JOBS Act.</w:t>
      </w:r>
    </w:p>
    <w:p>
      <w:pPr>
        <w:spacing w:after="0" w:line="16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These rules and regulations have increased our legal and financial compliance costs and made some corporate activities more time-consuming and costly. Since we have ceased to be an "emerging growth company," we expect to incur significant expenses and devote substantial management effort toward ensuring compliance with the requirements of Section 404 of the Sarbanes-Oxley Act and the other rules and regulations of the SEC. Operating as a public company has also made it more difficult and more expensive for us to obtain director and officer liability insurance, and we may be required to accept reduced policy limits and coverage or incur substantially higher costs to obtain the same or similar coverage. In addition, we have incurred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7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Shareholders of our company have in the past brought, and may in the future bring, securities class action lawsuits against our company following periods of instability in the market price of our ADSs. On August 2, 2018, a securities class action lawsuit was filed against GDS Holdings Limited, our Chief Executive Officer William Huang, and our Chief Financial Officer Daniel Newman by Hamza Ramzan, a GDS shareholder. See "Item 4. Information on the Companyâ€”B. Business Overviewâ€”Legal Proceedings" in our annual report on Form 20-F for the fiscal year ended December 31, 2018. We believe we have meritorious defenses to each of the claims in this lawsuit and we are prepared to vigorously defend against its allegations. On February 22, 2019, GDS, our Chief Executive Officer William Huang and our Chief Financial Officer Daniel Newman, filed a motion to dismiss the amended complaint and, alternatively, to transfer venue to the United States District Court for the Southern District of New York. There can be no assurance, however, that we will be successful. As of the date of this prospectus supplement, this lawsuit is in its preliminary stages; at present, we cannot reasonably assess the likelihood of any unfavorable outcome, nor can we reasonably estimate the amount, or range, of potential losses, if any, related to the lawsuit.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Any class action lawsuit, including the abovementioned lawsuit, could divert a significant amount of our management's attention and other resources from our business and operations, which could harm our results of operations and require us to incur significant expenses to defend the suit. Any such class action lawsuit, including the abovementioned lawsuit,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estimate that our net proceeds from this offering will be approximately US$385.5 million (or US$443.5 million if the underwriters exercise their option to purchase additional ADSs in full), based on the public offering price of US$33.50 per ADS, and after deducting estimated underwriting discounts and commissions and estimated offering expenses payable by us.</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expect approximately US$345.5 million of the net proceeds from this offering will be used in connection with the development and acquisition of new data centers, with the remaining amounts to be used for general corporate purposes.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utilizing the proceeds of this offering, as an offshore holding company, we are permitted, under PRC laws and regulations, to provide funding to our PRC subsidiaries only through loans or capital contributions and to our consolidated VIEs only through loans. Subject to satisfaction of applicable government registration and approval requirements, we may extend inter-company loans to our PRC subsidiaries or make additional capital contributions to our PRC subsidiaries to fund their capital expenditures or working capital. We cannot assure you that we will be able to obtain these government registrations or approvals on a timely basis, if at all. The foregoing represents our current intentions to use and allocate the net proceeds of this offering based upon our present plans and business conditions. Our management, however, will have significant flexibility and discretion to apply the net proceeds of this offering. If an unforeseen event occurs or business conditions change, we may use the proceeds of this offering differently than as described in this prospectus supplement.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2018:</w:t>
      </w:r>
    </w:p>
    <w:p>
      <w:pPr>
        <w:sectPr>
          <w:pgSz w:w="11900" w:h="16838" w:orient="portrait"/>
          <w:cols w:equalWidth="0" w:num="1">
            <w:col w:w="11440"/>
          </w:cols>
          <w:pgMar w:left="160" w:top="51" w:right="29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an actual basis; and</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an adjusted basis giving effect to our issuance and sale of 95,522,392 Class A ordinary shares in the form of ADSs pursuant to this prospectus supplement, resulting in estimated net proceeds of US$385.5 million, based on the public offering price of US$33.50 per ADS, and after deducting underwriting discounts and commissions and estimated offering expenses payable by us and assuming the underwriters do not exercise their option to purchase additional ADSs.</w:t>
      </w:r>
    </w:p>
    <w:p>
      <w:pPr>
        <w:spacing w:after="0" w:line="197" w:lineRule="exact"/>
        <w:rPr>
          <w:sz w:val="20"/>
          <w:szCs w:val="20"/>
          <w:color w:val="auto"/>
        </w:rPr>
      </w:pPr>
    </w:p>
    <w:p>
      <w:pPr>
        <w:sectPr>
          <w:pgSz w:w="11900" w:h="16838" w:orient="portrait"/>
          <w:cols w:equalWidth="0" w:num="2">
            <w:col w:w="800" w:space="280"/>
            <w:col w:w="10360"/>
          </w:cols>
          <w:pgMar w:left="160" w:top="51" w:right="299" w:bottom="1440" w:gutter="0" w:footer="0" w:header="0"/>
          <w:type w:val="continuous"/>
        </w:sectPr>
      </w:pPr>
    </w:p>
    <w:p>
      <w:pPr>
        <w:ind w:right="100" w:firstLine="348"/>
        <w:spacing w:after="0" w:line="259" w:lineRule="auto"/>
        <w:rPr>
          <w:sz w:val="20"/>
          <w:szCs w:val="20"/>
          <w:color w:val="auto"/>
        </w:rPr>
      </w:pPr>
      <w:r>
        <w:rPr>
          <w:rFonts w:ascii="Arial" w:cs="Arial" w:eastAsia="Arial" w:hAnsi="Arial"/>
          <w:sz w:val="18"/>
          <w:szCs w:val="18"/>
          <w:color w:val="auto"/>
        </w:rPr>
        <w:t>The as adjusted information below is illustrative only. You should read this table in conjunction with, and this table is qualified in its entirety by reference to our consolidated financial statements and the related notes included in our annual report on Form 20-F for the fiscal year ended December 31, 2018, which are incorporated by reference herein.</w:t>
      </w:r>
    </w:p>
    <w:p>
      <w:pPr>
        <w:spacing w:after="0" w:line="24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21"/>
              <w:spacing w:after="0"/>
              <w:rPr>
                <w:sz w:val="20"/>
                <w:szCs w:val="20"/>
                <w:color w:val="auto"/>
              </w:rPr>
            </w:pPr>
            <w:r>
              <w:rPr>
                <w:rFonts w:ascii="Arial" w:cs="Arial" w:eastAsia="Arial" w:hAnsi="Arial"/>
                <w:sz w:val="13"/>
                <w:szCs w:val="13"/>
                <w:b w:val="1"/>
                <w:bCs w:val="1"/>
                <w:color w:val="auto"/>
                <w:w w:val="99"/>
              </w:rPr>
              <w:t>As of December 31, 2018</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700"/>
              <w:spacing w:after="0" w:line="142" w:lineRule="exact"/>
              <w:rPr>
                <w:sz w:val="20"/>
                <w:szCs w:val="20"/>
                <w:color w:val="auto"/>
              </w:rPr>
            </w:pPr>
            <w:r>
              <w:rPr>
                <w:rFonts w:ascii="Arial" w:cs="Arial" w:eastAsia="Arial" w:hAnsi="Arial"/>
                <w:sz w:val="13"/>
                <w:szCs w:val="13"/>
                <w:b w:val="1"/>
                <w:bCs w:val="1"/>
                <w:color w:val="auto"/>
                <w:w w:val="95"/>
              </w:rPr>
              <w:t>Actual</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455"/>
              <w:spacing w:after="0" w:line="142" w:lineRule="exact"/>
              <w:rPr>
                <w:sz w:val="20"/>
                <w:szCs w:val="20"/>
                <w:color w:val="auto"/>
              </w:rPr>
            </w:pPr>
            <w:r>
              <w:rPr>
                <w:rFonts w:ascii="Arial" w:cs="Arial" w:eastAsia="Arial" w:hAnsi="Arial"/>
                <w:sz w:val="13"/>
                <w:szCs w:val="13"/>
                <w:b w:val="1"/>
                <w:bCs w:val="1"/>
                <w:color w:val="auto"/>
              </w:rPr>
              <w:t>As Adjusted(3)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35"/>
              <w:spacing w:after="0" w:line="142" w:lineRule="exact"/>
              <w:rPr>
                <w:sz w:val="20"/>
                <w:szCs w:val="20"/>
                <w:color w:val="auto"/>
              </w:rPr>
            </w:pPr>
            <w:r>
              <w:rPr>
                <w:rFonts w:ascii="Arial" w:cs="Arial" w:eastAsia="Arial" w:hAnsi="Arial"/>
                <w:sz w:val="13"/>
                <w:szCs w:val="13"/>
                <w:b w:val="1"/>
                <w:bCs w:val="1"/>
                <w:color w:val="auto"/>
              </w:rPr>
              <w:t>(in</w:t>
            </w:r>
          </w:p>
        </w:tc>
        <w:tc>
          <w:tcPr>
            <w:tcW w:w="100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88"/>
              </w:rPr>
              <w:t>thousands except</w:t>
            </w:r>
          </w:p>
        </w:tc>
        <w:tc>
          <w:tcPr>
            <w:tcW w:w="108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w w:val="85"/>
              </w:rPr>
              <w:t>share and per share</w:t>
            </w:r>
          </w:p>
        </w:tc>
        <w:tc>
          <w:tcPr>
            <w:tcW w:w="1000" w:type="dxa"/>
            <w:vAlign w:val="bottom"/>
            <w:gridSpan w:val="3"/>
          </w:tcPr>
          <w:p>
            <w:pPr>
              <w:jc w:val="center"/>
              <w:ind w:right="555"/>
              <w:spacing w:after="0" w:line="142" w:lineRule="exact"/>
              <w:rPr>
                <w:sz w:val="20"/>
                <w:szCs w:val="20"/>
                <w:color w:val="auto"/>
              </w:rPr>
            </w:pPr>
            <w:r>
              <w:rPr>
                <w:rFonts w:ascii="Arial" w:cs="Arial" w:eastAsia="Arial" w:hAnsi="Arial"/>
                <w:sz w:val="13"/>
                <w:szCs w:val="13"/>
                <w:b w:val="1"/>
                <w:bCs w:val="1"/>
                <w:color w:val="auto"/>
                <w:w w:val="96"/>
              </w:rPr>
              <w:t>data)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excluding current portion(1)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Convertible bonds payable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2,004,714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291,574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2,004,714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Capital lease and other financing obligations, non-current(2)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4,134,327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4,134,327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Ordinary shares (US$0.00005 par value; 2,002,000,000 shares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authorized; 1,007,069,643 shares issued and outstanding as of</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7,275,945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1,058,242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9,926,413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1,443,737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(139,254)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(20,254)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(139,254)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3" w:lineRule="exact"/>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77"/>
              <w:spacing w:after="0" w:line="203" w:lineRule="exact"/>
              <w:rPr>
                <w:sz w:val="20"/>
                <w:szCs w:val="20"/>
                <w:color w:val="auto"/>
              </w:rPr>
            </w:pPr>
            <w:r>
              <w:rPr>
                <w:rFonts w:ascii="Arial" w:cs="Arial" w:eastAsia="Arial" w:hAnsi="Arial"/>
                <w:sz w:val="18"/>
                <w:szCs w:val="18"/>
                <w:color w:val="auto"/>
                <w:w w:val="95"/>
              </w:rPr>
              <w:t>(1,615,107)</w:t>
            </w:r>
          </w:p>
        </w:tc>
        <w:tc>
          <w:tcPr>
            <w:tcW w:w="100" w:type="dxa"/>
            <w:vAlign w:val="bottom"/>
          </w:tcPr>
          <w:p>
            <w:pPr>
              <w:spacing w:after="0"/>
              <w:rPr>
                <w:sz w:val="17"/>
                <w:szCs w:val="17"/>
                <w:color w:val="auto"/>
              </w:rPr>
            </w:pPr>
          </w:p>
        </w:tc>
        <w:tc>
          <w:tcPr>
            <w:tcW w:w="860" w:type="dxa"/>
            <w:vAlign w:val="bottom"/>
            <w:gridSpan w:val="2"/>
          </w:tcPr>
          <w:p>
            <w:pPr>
              <w:jc w:val="right"/>
              <w:ind w:right="37"/>
              <w:spacing w:after="0" w:line="203" w:lineRule="exact"/>
              <w:rPr>
                <w:sz w:val="20"/>
                <w:szCs w:val="20"/>
                <w:color w:val="auto"/>
              </w:rPr>
            </w:pPr>
            <w:r>
              <w:rPr>
                <w:rFonts w:ascii="Arial" w:cs="Arial" w:eastAsia="Arial" w:hAnsi="Arial"/>
                <w:sz w:val="18"/>
                <w:szCs w:val="18"/>
                <w:color w:val="auto"/>
              </w:rPr>
              <w:t>(234,908)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1"/>
              <w:spacing w:after="0" w:line="203" w:lineRule="exact"/>
              <w:rPr>
                <w:sz w:val="20"/>
                <w:szCs w:val="20"/>
                <w:color w:val="auto"/>
              </w:rPr>
            </w:pPr>
            <w:r>
              <w:rPr>
                <w:rFonts w:ascii="Arial" w:cs="Arial" w:eastAsia="Arial" w:hAnsi="Arial"/>
                <w:sz w:val="18"/>
                <w:szCs w:val="18"/>
                <w:color w:val="auto"/>
                <w:w w:val="95"/>
              </w:rPr>
              <w:t>(1,615,107)</w:t>
            </w:r>
          </w:p>
        </w:tc>
        <w:tc>
          <w:tcPr>
            <w:tcW w:w="80" w:type="dxa"/>
            <w:vAlign w:val="bottom"/>
          </w:tcPr>
          <w:p>
            <w:pPr>
              <w:spacing w:after="0"/>
              <w:rPr>
                <w:sz w:val="17"/>
                <w:szCs w:val="17"/>
                <w:color w:val="auto"/>
              </w:rPr>
            </w:pPr>
          </w:p>
        </w:tc>
        <w:tc>
          <w:tcPr>
            <w:tcW w:w="920" w:type="dxa"/>
            <w:vAlign w:val="bottom"/>
            <w:gridSpan w:val="2"/>
          </w:tcPr>
          <w:p>
            <w:pPr>
              <w:jc w:val="right"/>
              <w:ind w:right="93"/>
              <w:spacing w:after="0" w:line="203" w:lineRule="exact"/>
              <w:rPr>
                <w:sz w:val="20"/>
                <w:szCs w:val="20"/>
                <w:color w:val="auto"/>
              </w:rPr>
            </w:pPr>
            <w:r>
              <w:rPr>
                <w:rFonts w:ascii="Arial" w:cs="Arial" w:eastAsia="Arial" w:hAnsi="Arial"/>
                <w:sz w:val="18"/>
                <w:szCs w:val="18"/>
                <w:color w:val="auto"/>
              </w:rPr>
              <w:t>(234,908)</w:t>
            </w:r>
          </w:p>
        </w:tc>
        <w:tc>
          <w:tcPr>
            <w:tcW w:w="0" w:type="dxa"/>
            <w:vAlign w:val="bottom"/>
          </w:tcPr>
          <w:p>
            <w:pPr>
              <w:spacing w:after="0"/>
              <w:rPr>
                <w:sz w:val="1"/>
                <w:szCs w:val="1"/>
                <w:color w:val="auto"/>
              </w:rPr>
            </w:pPr>
          </w:p>
        </w:tc>
      </w:tr>
      <w:tr>
        <w:trPr>
          <w:trHeight w:val="33"/>
        </w:trPr>
        <w:tc>
          <w:tcPr>
            <w:tcW w:w="472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360" w:type="dxa"/>
            <w:vAlign w:val="bottom"/>
          </w:tcPr>
          <w:p>
            <w:pPr>
              <w:ind w:left="200"/>
              <w:spacing w:after="0" w:line="33" w:lineRule="exact"/>
              <w:rPr>
                <w:sz w:val="20"/>
                <w:szCs w:val="20"/>
                <w:color w:val="auto"/>
              </w:rPr>
            </w:pPr>
            <w:r>
              <w:rPr>
                <w:rFonts w:ascii="Arial" w:cs="Arial" w:eastAsia="Arial" w:hAnsi="Arial"/>
                <w:sz w:val="3"/>
                <w:szCs w:val="3"/>
                <w:color w:val="auto"/>
              </w:rPr>
              <w:t>â€‹</w:t>
            </w:r>
          </w:p>
        </w:tc>
        <w:tc>
          <w:tcPr>
            <w:tcW w:w="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84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4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84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01"/>
              <w:spacing w:after="0"/>
              <w:rPr>
                <w:sz w:val="20"/>
                <w:szCs w:val="20"/>
                <w:color w:val="auto"/>
              </w:rPr>
            </w:pPr>
            <w:r>
              <w:rPr>
                <w:rFonts w:ascii="Arial" w:cs="Arial" w:eastAsia="Arial" w:hAnsi="Arial"/>
                <w:sz w:val="1"/>
                <w:szCs w:val="1"/>
                <w:color w:val="auto"/>
              </w:rPr>
              <w:t>â€‹</w:t>
            </w:r>
          </w:p>
        </w:tc>
        <w:tc>
          <w:tcPr>
            <w:tcW w:w="80" w:type="dxa"/>
            <w:vAlign w:val="bottom"/>
          </w:tcPr>
          <w:p>
            <w:pPr>
              <w:jc w:val="center"/>
              <w:ind w:right="28"/>
              <w:spacing w:after="0" w:line="27" w:lineRule="exact"/>
              <w:rPr>
                <w:sz w:val="20"/>
                <w:szCs w:val="20"/>
                <w:color w:val="auto"/>
              </w:rPr>
            </w:pPr>
            <w:r>
              <w:rPr>
                <w:rFonts w:ascii="Arial" w:cs="Arial" w:eastAsia="Arial" w:hAnsi="Arial"/>
                <w:sz w:val="3"/>
                <w:szCs w:val="3"/>
                <w:color w:val="auto"/>
                <w:w w:val="91"/>
              </w:rPr>
              <w:t>â€‹</w:t>
            </w:r>
          </w:p>
        </w:tc>
        <w:tc>
          <w:tcPr>
            <w:tcW w:w="7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97"/>
        </w:trPr>
        <w:tc>
          <w:tcPr>
            <w:tcW w:w="4720" w:type="dxa"/>
            <w:vAlign w:val="bottom"/>
            <w:gridSpan w:val="2"/>
          </w:tcPr>
          <w:p>
            <w:pPr>
              <w:spacing w:after="0" w:line="197" w:lineRule="exact"/>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Arial" w:cs="Arial" w:eastAsia="Arial" w:hAnsi="Arial"/>
                <w:sz w:val="18"/>
                <w:szCs w:val="18"/>
                <w:color w:val="auto"/>
              </w:rPr>
              <w:t>5,521,925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7" w:lineRule="exact"/>
              <w:rPr>
                <w:sz w:val="20"/>
                <w:szCs w:val="20"/>
                <w:color w:val="auto"/>
              </w:rPr>
            </w:pPr>
            <w:r>
              <w:rPr>
                <w:rFonts w:ascii="Arial" w:cs="Arial" w:eastAsia="Arial" w:hAnsi="Arial"/>
                <w:sz w:val="18"/>
                <w:szCs w:val="18"/>
                <w:color w:val="auto"/>
              </w:rPr>
              <w:t>803,130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Arial" w:cs="Arial" w:eastAsia="Arial" w:hAnsi="Arial"/>
                <w:sz w:val="18"/>
                <w:szCs w:val="18"/>
                <w:color w:val="auto"/>
              </w:rPr>
              <w:t>8,172,426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7" w:lineRule="exact"/>
              <w:rPr>
                <w:sz w:val="20"/>
                <w:szCs w:val="20"/>
                <w:color w:val="auto"/>
              </w:rPr>
            </w:pPr>
            <w:r>
              <w:rPr>
                <w:rFonts w:ascii="Arial" w:cs="Arial" w:eastAsia="Arial" w:hAnsi="Arial"/>
                <w:sz w:val="18"/>
                <w:szCs w:val="18"/>
                <w:color w:val="auto"/>
                <w:w w:val="92"/>
              </w:rPr>
              <w:t>1,188,629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72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360" w:type="dxa"/>
            <w:vAlign w:val="bottom"/>
          </w:tcPr>
          <w:p>
            <w:pPr>
              <w:ind w:left="200"/>
              <w:spacing w:after="0" w:line="33" w:lineRule="exact"/>
              <w:rPr>
                <w:sz w:val="20"/>
                <w:szCs w:val="20"/>
                <w:color w:val="auto"/>
              </w:rPr>
            </w:pPr>
            <w:r>
              <w:rPr>
                <w:rFonts w:ascii="Arial" w:cs="Arial" w:eastAsia="Arial" w:hAnsi="Arial"/>
                <w:sz w:val="3"/>
                <w:szCs w:val="3"/>
                <w:color w:val="auto"/>
              </w:rPr>
              <w:t>â€‹</w:t>
            </w:r>
          </w:p>
        </w:tc>
        <w:tc>
          <w:tcPr>
            <w:tcW w:w="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84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4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84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01"/>
              <w:spacing w:after="0"/>
              <w:rPr>
                <w:sz w:val="20"/>
                <w:szCs w:val="20"/>
                <w:color w:val="auto"/>
              </w:rPr>
            </w:pPr>
            <w:r>
              <w:rPr>
                <w:rFonts w:ascii="Arial" w:cs="Arial" w:eastAsia="Arial" w:hAnsi="Arial"/>
                <w:sz w:val="1"/>
                <w:szCs w:val="1"/>
                <w:color w:val="auto"/>
              </w:rPr>
              <w:t>â€‹</w:t>
            </w:r>
          </w:p>
        </w:tc>
        <w:tc>
          <w:tcPr>
            <w:tcW w:w="80" w:type="dxa"/>
            <w:vAlign w:val="bottom"/>
          </w:tcPr>
          <w:p>
            <w:pPr>
              <w:jc w:val="center"/>
              <w:ind w:right="28"/>
              <w:spacing w:after="0" w:line="27" w:lineRule="exact"/>
              <w:rPr>
                <w:sz w:val="20"/>
                <w:szCs w:val="20"/>
                <w:color w:val="auto"/>
              </w:rPr>
            </w:pPr>
            <w:r>
              <w:rPr>
                <w:rFonts w:ascii="Arial" w:cs="Arial" w:eastAsia="Arial" w:hAnsi="Arial"/>
                <w:sz w:val="3"/>
                <w:szCs w:val="3"/>
                <w:color w:val="auto"/>
                <w:w w:val="91"/>
              </w:rPr>
              <w:t>â€‹</w:t>
            </w:r>
          </w:p>
        </w:tc>
        <w:tc>
          <w:tcPr>
            <w:tcW w:w="7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97"/>
        </w:trPr>
        <w:tc>
          <w:tcPr>
            <w:tcW w:w="4720" w:type="dxa"/>
            <w:vAlign w:val="bottom"/>
            <w:gridSpan w:val="2"/>
          </w:tcPr>
          <w:p>
            <w:pPr>
              <w:spacing w:after="0" w:line="197" w:lineRule="exact"/>
              <w:rPr>
                <w:sz w:val="20"/>
                <w:szCs w:val="20"/>
                <w:color w:val="auto"/>
              </w:rPr>
            </w:pPr>
            <w:r>
              <w:rPr>
                <w:rFonts w:ascii="Arial" w:cs="Arial" w:eastAsia="Arial" w:hAnsi="Arial"/>
                <w:sz w:val="18"/>
                <w:szCs w:val="18"/>
                <w:color w:val="auto"/>
              </w:rPr>
              <w:t>Total capitalization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Arial" w:cs="Arial" w:eastAsia="Arial" w:hAnsi="Arial"/>
                <w:sz w:val="18"/>
                <w:szCs w:val="18"/>
                <w:color w:val="auto"/>
                <w:w w:val="90"/>
              </w:rPr>
              <w:t>16,864,674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7" w:lineRule="exact"/>
              <w:rPr>
                <w:sz w:val="20"/>
                <w:szCs w:val="20"/>
                <w:color w:val="auto"/>
              </w:rPr>
            </w:pPr>
            <w:r>
              <w:rPr>
                <w:rFonts w:ascii="Arial" w:cs="Arial" w:eastAsia="Arial" w:hAnsi="Arial"/>
                <w:sz w:val="18"/>
                <w:szCs w:val="18"/>
                <w:color w:val="auto"/>
                <w:w w:val="89"/>
              </w:rPr>
              <w:t>2,452,865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Arial" w:cs="Arial" w:eastAsia="Arial" w:hAnsi="Arial"/>
                <w:sz w:val="18"/>
                <w:szCs w:val="18"/>
                <w:color w:val="auto"/>
                <w:w w:val="90"/>
              </w:rPr>
              <w:t>19,515,175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7" w:lineRule="exact"/>
              <w:rPr>
                <w:sz w:val="20"/>
                <w:szCs w:val="20"/>
                <w:color w:val="auto"/>
              </w:rPr>
            </w:pPr>
            <w:r>
              <w:rPr>
                <w:rFonts w:ascii="Arial" w:cs="Arial" w:eastAsia="Arial" w:hAnsi="Arial"/>
                <w:sz w:val="18"/>
                <w:szCs w:val="18"/>
                <w:color w:val="auto"/>
                <w:w w:val="92"/>
              </w:rPr>
              <w:t>2,838,364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720" w:type="dxa"/>
            <w:vAlign w:val="bottom"/>
            <w:gridSpan w:val="2"/>
          </w:tcPr>
          <w:p>
            <w:pPr>
              <w:spacing w:after="0"/>
              <w:rPr>
                <w:sz w:val="20"/>
                <w:szCs w:val="20"/>
                <w:color w:val="auto"/>
              </w:rPr>
            </w:pPr>
            <w:r>
              <w:rPr>
                <w:rFonts w:ascii="Arial" w:cs="Arial" w:eastAsia="Arial" w:hAnsi="Arial"/>
                <w:sz w:val="1"/>
                <w:szCs w:val="1"/>
                <w:color w:val="auto"/>
              </w:rPr>
              <w:t>â€‹</w:t>
            </w:r>
          </w:p>
        </w:tc>
        <w:tc>
          <w:tcPr>
            <w:tcW w:w="360" w:type="dxa"/>
            <w:vAlign w:val="bottom"/>
          </w:tcPr>
          <w:p>
            <w:pPr>
              <w:ind w:left="200"/>
              <w:spacing w:after="0"/>
              <w:rPr>
                <w:sz w:val="20"/>
                <w:szCs w:val="20"/>
                <w:color w:val="auto"/>
              </w:rPr>
            </w:pPr>
            <w:r>
              <w:rPr>
                <w:rFonts w:ascii="Arial" w:cs="Arial" w:eastAsia="Arial" w:hAnsi="Arial"/>
                <w:sz w:val="1"/>
                <w:szCs w:val="1"/>
                <w:color w:val="auto"/>
              </w:rPr>
              <w:t>â€‹</w:t>
            </w: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84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1"/>
                <w:szCs w:val="1"/>
                <w:color w:val="auto"/>
              </w:rPr>
              <w:t>â€‹</w:t>
            </w:r>
          </w:p>
        </w:tc>
        <w:tc>
          <w:tcPr>
            <w:tcW w:w="100" w:type="dxa"/>
            <w:vAlign w:val="bottom"/>
          </w:tcPr>
          <w:p>
            <w:pPr>
              <w:spacing w:after="0"/>
              <w:rPr>
                <w:sz w:val="20"/>
                <w:szCs w:val="20"/>
                <w:color w:val="auto"/>
              </w:rPr>
            </w:pPr>
            <w:r>
              <w:rPr>
                <w:rFonts w:ascii="Arial" w:cs="Arial" w:eastAsia="Arial" w:hAnsi="Arial"/>
                <w:sz w:val="3"/>
                <w:szCs w:val="3"/>
                <w:color w:val="auto"/>
              </w:rPr>
              <w:t>â€‹</w:t>
            </w:r>
          </w:p>
        </w:tc>
        <w:tc>
          <w:tcPr>
            <w:tcW w:w="740" w:type="dxa"/>
            <w:vAlign w:val="bottom"/>
          </w:tcPr>
          <w:p>
            <w:pPr>
              <w:jc w:val="right"/>
              <w:spacing w:after="0"/>
              <w:rPr>
                <w:sz w:val="20"/>
                <w:szCs w:val="20"/>
                <w:color w:val="auto"/>
              </w:rPr>
            </w:pPr>
            <w:r>
              <w:rPr>
                <w:rFonts w:ascii="Arial" w:cs="Arial" w:eastAsia="Arial" w:hAnsi="Arial"/>
                <w:sz w:val="3"/>
                <w:szCs w:val="3"/>
                <w:color w:val="auto"/>
              </w:rPr>
              <w:t>â€‹</w:t>
            </w:r>
          </w:p>
        </w:tc>
        <w:tc>
          <w:tcPr>
            <w:tcW w:w="120" w:type="dxa"/>
            <w:vAlign w:val="bottom"/>
          </w:tcPr>
          <w:p>
            <w:pPr>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84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jc w:val="right"/>
              <w:ind w:right="101"/>
              <w:spacing w:after="0"/>
              <w:rPr>
                <w:sz w:val="20"/>
                <w:szCs w:val="20"/>
                <w:color w:val="auto"/>
              </w:rPr>
            </w:pPr>
            <w:r>
              <w:rPr>
                <w:rFonts w:ascii="Arial" w:cs="Arial" w:eastAsia="Arial" w:hAnsi="Arial"/>
                <w:sz w:val="1"/>
                <w:szCs w:val="1"/>
                <w:color w:val="auto"/>
              </w:rPr>
              <w:t>â€‹</w:t>
            </w:r>
          </w:p>
        </w:tc>
        <w:tc>
          <w:tcPr>
            <w:tcW w:w="80" w:type="dxa"/>
            <w:vAlign w:val="bottom"/>
          </w:tcPr>
          <w:p>
            <w:pPr>
              <w:jc w:val="center"/>
              <w:ind w:right="28"/>
              <w:spacing w:after="0"/>
              <w:rPr>
                <w:sz w:val="20"/>
                <w:szCs w:val="20"/>
                <w:color w:val="auto"/>
              </w:rPr>
            </w:pPr>
            <w:r>
              <w:rPr>
                <w:rFonts w:ascii="Arial" w:cs="Arial" w:eastAsia="Arial" w:hAnsi="Arial"/>
                <w:sz w:val="3"/>
                <w:szCs w:val="3"/>
                <w:color w:val="auto"/>
                <w:w w:val="91"/>
              </w:rPr>
              <w:t>â€‹</w:t>
            </w:r>
          </w:p>
        </w:tc>
        <w:tc>
          <w:tcPr>
            <w:tcW w:w="76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3"/>
        </w:trPr>
        <w:tc>
          <w:tcPr>
            <w:tcW w:w="472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360" w:type="dxa"/>
            <w:vAlign w:val="bottom"/>
            <w:vMerge w:val="restart"/>
          </w:tcPr>
          <w:p>
            <w:pPr>
              <w:ind w:left="200"/>
              <w:spacing w:after="0"/>
              <w:rPr>
                <w:sz w:val="20"/>
                <w:szCs w:val="20"/>
                <w:color w:val="auto"/>
              </w:rPr>
            </w:pPr>
            <w:r>
              <w:rPr>
                <w:rFonts w:ascii="Arial" w:cs="Arial" w:eastAsia="Arial" w:hAnsi="Arial"/>
                <w:sz w:val="3"/>
                <w:szCs w:val="3"/>
                <w:color w:val="auto"/>
              </w:rPr>
              <w:t>â€‹</w:t>
            </w:r>
          </w:p>
        </w:tc>
        <w:tc>
          <w:tcPr>
            <w:tcW w:w="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84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vMerge w:val="restart"/>
          </w:tcPr>
          <w:p>
            <w:pPr>
              <w:spacing w:after="0"/>
              <w:rPr>
                <w:sz w:val="20"/>
                <w:szCs w:val="20"/>
                <w:color w:val="auto"/>
              </w:rPr>
            </w:pPr>
            <w:r>
              <w:rPr>
                <w:rFonts w:ascii="Arial" w:cs="Arial" w:eastAsia="Arial" w:hAnsi="Arial"/>
                <w:sz w:val="3"/>
                <w:szCs w:val="3"/>
                <w:color w:val="auto"/>
              </w:rPr>
              <w:t>â€‹</w:t>
            </w:r>
          </w:p>
        </w:tc>
        <w:tc>
          <w:tcPr>
            <w:tcW w:w="10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4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20" w:type="dxa"/>
            <w:vAlign w:val="bottom"/>
            <w:vMerge w:val="restart"/>
          </w:tcPr>
          <w:p>
            <w:pPr>
              <w:spacing w:after="0"/>
              <w:rPr>
                <w:sz w:val="20"/>
                <w:szCs w:val="20"/>
                <w:color w:val="auto"/>
              </w:rPr>
            </w:pPr>
            <w:r>
              <w:rPr>
                <w:rFonts w:ascii="Arial" w:cs="Arial" w:eastAsia="Arial" w:hAnsi="Arial"/>
                <w:sz w:val="3"/>
                <w:szCs w:val="3"/>
                <w:color w:val="auto"/>
              </w:rPr>
              <w:t>â€‹</w:t>
            </w: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84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vMerge w:val="restart"/>
          </w:tcPr>
          <w:p>
            <w:pPr>
              <w:jc w:val="right"/>
              <w:ind w:right="101"/>
              <w:spacing w:after="0"/>
              <w:rPr>
                <w:sz w:val="20"/>
                <w:szCs w:val="20"/>
                <w:color w:val="auto"/>
              </w:rPr>
            </w:pPr>
            <w:r>
              <w:rPr>
                <w:rFonts w:ascii="Arial" w:cs="Arial" w:eastAsia="Arial" w:hAnsi="Arial"/>
                <w:sz w:val="1"/>
                <w:szCs w:val="1"/>
                <w:color w:val="auto"/>
              </w:rPr>
              <w:t>â€‹</w:t>
            </w:r>
          </w:p>
        </w:tc>
        <w:tc>
          <w:tcPr>
            <w:tcW w:w="80" w:type="dxa"/>
            <w:vAlign w:val="bottom"/>
            <w:shd w:val="clear" w:color="auto" w:fill="000000"/>
          </w:tcPr>
          <w:p>
            <w:pPr>
              <w:jc w:val="center"/>
              <w:ind w:right="28"/>
              <w:spacing w:after="0" w:line="7" w:lineRule="exact"/>
              <w:rPr>
                <w:sz w:val="20"/>
                <w:szCs w:val="20"/>
                <w:color w:val="auto"/>
              </w:rPr>
            </w:pPr>
            <w:r>
              <w:rPr>
                <w:rFonts w:ascii="Arial" w:cs="Arial" w:eastAsia="Arial" w:hAnsi="Arial"/>
                <w:sz w:val="1"/>
                <w:szCs w:val="1"/>
                <w:color w:val="auto"/>
              </w:rPr>
              <w:t>â€‹</w:t>
            </w:r>
          </w:p>
        </w:tc>
        <w:tc>
          <w:tcPr>
            <w:tcW w:w="7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vMerge w:val="restart"/>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22"/>
        </w:trPr>
        <w:tc>
          <w:tcPr>
            <w:tcW w:w="472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4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-393700</wp:posOffset>
            </wp:positionV>
            <wp:extent cx="586359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3590" cy="15430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-102235</wp:posOffset>
            </wp:positionV>
            <wp:extent cx="2537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1" w:lineRule="exact"/>
        <w:rPr>
          <w:sz w:val="20"/>
          <w:szCs w:val="20"/>
          <w:color w:val="auto"/>
        </w:rPr>
      </w:pPr>
    </w:p>
    <w:p>
      <w:pPr>
        <w:ind w:left="1700" w:hanging="536"/>
        <w:spacing w:after="0" w:line="268"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reflect long-term borrowings drawn down, net of any repayment of existing loans, in the aggregate amount of RMB825.4 million (US$120.0 million), from January 1, 2019 to the date of this prospectus supplement.</w:t>
      </w:r>
    </w:p>
    <w:p>
      <w:pPr>
        <w:spacing w:after="0" w:line="199" w:lineRule="exact"/>
        <w:rPr>
          <w:rFonts w:ascii="Arial" w:cs="Arial" w:eastAsia="Arial" w:hAnsi="Arial"/>
          <w:sz w:val="18"/>
          <w:szCs w:val="18"/>
          <w:color w:val="auto"/>
        </w:rPr>
      </w:pPr>
    </w:p>
    <w:p>
      <w:pPr>
        <w:ind w:left="1700" w:right="40" w:hanging="536"/>
        <w:spacing w:after="0" w:line="268"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Does not reflect the derecognition of other financing obligation of RMB331.9 million (US$48.3 million) upon the adoption of ASU 2016-02, </w:t>
      </w:r>
      <w:r>
        <w:rPr>
          <w:rFonts w:ascii="Arial" w:cs="Arial" w:eastAsia="Arial" w:hAnsi="Arial"/>
          <w:sz w:val="18"/>
          <w:szCs w:val="18"/>
          <w:i w:val="1"/>
          <w:iCs w:val="1"/>
          <w:color w:val="auto"/>
        </w:rPr>
        <w:t>Leases (Topic 842).</w:t>
      </w:r>
    </w:p>
    <w:p>
      <w:pPr>
        <w:spacing w:after="0" w:line="212" w:lineRule="exact"/>
        <w:rPr>
          <w:rFonts w:ascii="Arial" w:cs="Arial" w:eastAsia="Arial" w:hAnsi="Arial"/>
          <w:sz w:val="18"/>
          <w:szCs w:val="18"/>
          <w:color w:val="auto"/>
        </w:rPr>
      </w:pPr>
    </w:p>
    <w:p>
      <w:pPr>
        <w:ind w:left="1700" w:right="520" w:hanging="536"/>
        <w:spacing w:after="0" w:line="268"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give effect to the Concurrent Private Convertible Preferred Offering. For additional information, see "Share Ownership of Directors, Officers and Principal Shareholders."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you invest in our ADSs, your interest will be diluted to the extent of the difference between the public offering price per ADS and our as adjusted net tangible book value per ADS after this offering. Dilution results from the fact that the public offering price per Class A ordinary share is substantially in excess of the net tangible book value per ordinary share attributable to the existing shareholders for our presently outstanding ordinary shares.</w:t>
      </w:r>
    </w:p>
    <w:p>
      <w:pPr>
        <w:spacing w:after="0" w:line="16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net tangible book value as of December 31, 2018 was approximately RMB3,287.5 million (US$478.1 million), or RMB3.2815 (US$0.4773) per ordinary share as of that date, and RMB26.2520 (US$3.8182) per ADS. Net tangible book value represents the amount of our total consolidated assets, less the amount of our intangible assets, goodwill and total consolidated liabilities. Dilution is determined by subtracting as adjusted net tangible book value per ordinary share, after giving effect to the issuance and sale by us of shares in the form of ADSs in this offering at the public offering price of US$33.50 per ADS, and after deducting the underwriting discounts and commissions and estimated offering expenses payable by us from the public offering price per Class A ordinary share.</w:t>
      </w:r>
    </w:p>
    <w:p>
      <w:pPr>
        <w:spacing w:after="0" w:line="169" w:lineRule="exact"/>
        <w:rPr>
          <w:sz w:val="20"/>
          <w:szCs w:val="20"/>
          <w:color w:val="auto"/>
        </w:rPr>
      </w:pPr>
    </w:p>
    <w:p>
      <w:pPr>
        <w:jc w:val="both"/>
        <w:ind w:right="60" w:firstLine="348"/>
        <w:spacing w:after="0" w:line="284" w:lineRule="auto"/>
        <w:rPr>
          <w:sz w:val="20"/>
          <w:szCs w:val="20"/>
          <w:color w:val="auto"/>
        </w:rPr>
      </w:pPr>
      <w:r>
        <w:rPr>
          <w:rFonts w:ascii="Arial" w:cs="Arial" w:eastAsia="Arial" w:hAnsi="Arial"/>
          <w:sz w:val="16"/>
          <w:szCs w:val="16"/>
          <w:color w:val="auto"/>
        </w:rPr>
        <w:t>Without taking into account any other changes in net tangible book value after December 31, 2018, other than to give effect to the issuance and sale by us of Class A ordinary shares in the form of ADSs in this offering at the public offering price of US$33.50 per ADS, and after deducting the underwriting discounts and commissions and estimated offering expenses payable by us, our as adjusted net tangible book value as of December 31, 2018 would have been</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RMB5,938.0 million (US$863.6 million), or RMB5.4112 (US$0.7870) per outstanding ordinary share and RMB43.2899 (US$6.2963) per ADS. This represents an immediate increase in net tangible book value of US$0.3097 per ordinary share and US$2.4781 per ADS to the existing shareholders and an immediate dilution in net tangible book value of US$3.4005 per ordinary share and US$27.2037 per ADS to investors purchasing ADSs in this offering.</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such dilution:</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Per</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6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ind w:right="261"/>
              <w:spacing w:after="0"/>
              <w:rPr>
                <w:sz w:val="20"/>
                <w:szCs w:val="20"/>
                <w:color w:val="auto"/>
              </w:rPr>
            </w:pPr>
            <w:r>
              <w:rPr>
                <w:rFonts w:ascii="Arial" w:cs="Arial" w:eastAsia="Arial" w:hAnsi="Arial"/>
                <w:sz w:val="13"/>
                <w:szCs w:val="13"/>
                <w:b w:val="1"/>
                <w:bCs w:val="1"/>
                <w:color w:val="auto"/>
              </w:rPr>
              <w:t>Ordinary</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1"/>
              <w:spacing w:after="0"/>
              <w:rPr>
                <w:sz w:val="20"/>
                <w:szCs w:val="20"/>
                <w:color w:val="auto"/>
              </w:rPr>
            </w:pPr>
            <w:r>
              <w:rPr>
                <w:rFonts w:ascii="Arial" w:cs="Arial" w:eastAsia="Arial" w:hAnsi="Arial"/>
                <w:sz w:val="13"/>
                <w:szCs w:val="13"/>
                <w:b w:val="1"/>
                <w:bCs w:val="1"/>
                <w:color w:val="auto"/>
                <w:w w:val="93"/>
              </w:rPr>
              <w:t>Share</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99"/>
              </w:rPr>
              <w:t>Per ADS</w:t>
            </w:r>
          </w:p>
        </w:tc>
        <w:tc>
          <w:tcPr>
            <w:tcW w:w="160" w:type="dxa"/>
            <w:vAlign w:val="bottom"/>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Actual net tangible book value per share as of December 31, 2018</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0.4773</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3.8182</w:t>
            </w: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w w:val="95"/>
              </w:rPr>
              <w:t>As adjusted net tangible book value per share after giving effect to this offering</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0.7870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6.2963</w:t>
            </w: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160" w:type="dxa"/>
            <w:vAlign w:val="bottom"/>
            <w:shd w:val="clear" w:color="auto" w:fill="CCEEFF"/>
          </w:tcPr>
          <w:p>
            <w:pPr>
              <w:spacing w:after="0"/>
              <w:rPr>
                <w:sz w:val="18"/>
                <w:szCs w:val="18"/>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Dilution in net tangible book value per share to new investors in the offering</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27.2037</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amount of dilution in net tangible book value to new investors in this offering set forth above is determined after giving effect to this offering from the public offering price per ordinary share.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summarizes, on an as adjusted basis as of December 31, 2018, the differences between existing shareholders and the new investors purchasing shares in this offering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number of ordinary shares does not include ordinary shares underlying the ADSs issuable upon the exercise of the option to purchase additional ADSs granted to the underwriters.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center"/>
              <w:ind w:right="262"/>
              <w:spacing w:after="0"/>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Price per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Ordinary Shares Total</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Consideration</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Ordinary</w:t>
            </w:r>
          </w:p>
        </w:tc>
        <w:tc>
          <w:tcPr>
            <w:tcW w:w="16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Average Price</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vMerge w:val="restart"/>
          </w:tcPr>
          <w:p>
            <w:pPr>
              <w:jc w:val="center"/>
              <w:ind w:right="242"/>
              <w:spacing w:after="0" w:line="136" w:lineRule="exact"/>
              <w:rPr>
                <w:sz w:val="20"/>
                <w:szCs w:val="20"/>
                <w:color w:val="auto"/>
              </w:rPr>
            </w:pPr>
            <w:r>
              <w:rPr>
                <w:rFonts w:ascii="Arial" w:cs="Arial" w:eastAsia="Arial" w:hAnsi="Arial"/>
                <w:sz w:val="13"/>
                <w:szCs w:val="13"/>
                <w:b w:val="1"/>
                <w:bCs w:val="1"/>
                <w:color w:val="auto"/>
                <w:w w:val="93"/>
              </w:rPr>
              <w:t>Share</w:t>
            </w: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vMerge w:val="restart"/>
          </w:tcPr>
          <w:p>
            <w:pPr>
              <w:jc w:val="center"/>
              <w:ind w:right="500"/>
              <w:spacing w:after="0" w:line="136" w:lineRule="exact"/>
              <w:rPr>
                <w:sz w:val="20"/>
                <w:szCs w:val="20"/>
                <w:color w:val="auto"/>
              </w:rPr>
            </w:pPr>
            <w:r>
              <w:rPr>
                <w:rFonts w:ascii="Arial" w:cs="Arial" w:eastAsia="Arial" w:hAnsi="Arial"/>
                <w:sz w:val="13"/>
                <w:szCs w:val="13"/>
                <w:b w:val="1"/>
                <w:bCs w:val="1"/>
                <w:color w:val="auto"/>
                <w:w w:val="97"/>
              </w:rPr>
              <w:t>per ADS</w:t>
            </w:r>
          </w:p>
        </w:tc>
        <w:tc>
          <w:tcPr>
            <w:tcW w:w="0" w:type="dxa"/>
            <w:vAlign w:val="bottom"/>
          </w:tcPr>
          <w:p>
            <w:pPr>
              <w:spacing w:after="0"/>
              <w:rPr>
                <w:sz w:val="1"/>
                <w:szCs w:val="1"/>
                <w:color w:val="auto"/>
              </w:rPr>
            </w:pPr>
          </w:p>
        </w:tc>
      </w:tr>
      <w:tr>
        <w:trPr>
          <w:trHeight w:val="89"/>
        </w:trPr>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780" w:type="dxa"/>
            <w:vAlign w:val="bottom"/>
          </w:tcPr>
          <w:p>
            <w:pPr>
              <w:spacing w:after="0"/>
              <w:rPr>
                <w:sz w:val="14"/>
                <w:szCs w:val="14"/>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Equivalent</w:t>
            </w: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Equivalent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 million</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1,139.4 million</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5"/>
              </w:rPr>
              <w:t>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New investors</w:t>
            </w:r>
          </w:p>
        </w:tc>
        <w:tc>
          <w:tcPr>
            <w:tcW w:w="1220" w:type="dxa"/>
            <w:vAlign w:val="bottom"/>
          </w:tcPr>
          <w:p>
            <w:pPr>
              <w:jc w:val="right"/>
              <w:spacing w:after="0"/>
              <w:rPr>
                <w:sz w:val="20"/>
                <w:szCs w:val="20"/>
                <w:color w:val="auto"/>
              </w:rPr>
            </w:pPr>
            <w:r>
              <w:rPr>
                <w:rFonts w:ascii="Arial" w:cs="Arial" w:eastAsia="Arial" w:hAnsi="Arial"/>
                <w:sz w:val="18"/>
                <w:szCs w:val="18"/>
                <w:color w:val="auto"/>
              </w:rPr>
              <w:t>95.5 million</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400.0 million</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700" w:type="dxa"/>
            <w:vAlign w:val="bottom"/>
          </w:tcPr>
          <w:p>
            <w:pPr>
              <w:jc w:val="right"/>
              <w:spacing w:after="0"/>
              <w:rPr>
                <w:sz w:val="20"/>
                <w:szCs w:val="20"/>
                <w:color w:val="auto"/>
              </w:rPr>
            </w:pPr>
            <w:r>
              <w:rPr>
                <w:rFonts w:ascii="Arial" w:cs="Arial" w:eastAsia="Arial" w:hAnsi="Arial"/>
                <w:sz w:val="18"/>
                <w:szCs w:val="18"/>
                <w:color w:val="auto"/>
              </w:rPr>
              <w:t>4.19</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33.50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 million</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1,539.4 million</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If the underwriters were to fully exercise their option to purchase additional shares of our Class A ordinary shares from us, the percentage of shares of our ordinary shares held by existing shareholders who are directors, officers or affiliated persons would be 90.1%, and the percentage of shares of our common stock held by new investors would be 9.9%.</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discussion and tables above do not reflect (i) the potential conversion into Class A ordinary shares of our convertible bonds due 2025, (ii) the Concurrent Private Convertible Preferred Offering, and (iii) any outstanding share options or granted but not yet vested restricted shares.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Holders of our convertible bonds due 2025 may, at their option, convert their notes into our ADSs at an initial conversion rate of 19.3865 of our ADSs per US$1,000 principal amount of notes, or an aggregate of 46,527,600 Class A ordinary shares, assuming conversion of the entire US$300 million aggregate principal amount of notes at such initial conversion rate.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convertible preferred shares will initially accrue a 5% per annum dividend, payable quarterly in arrears, in cash or in kind in the form of additional convertible preferred shares, at the option of our company. The preferred shares will be convertible into our Class A ordinary shares at the option of their holder at a conversion price of US$35.60 per ADS. We will have the right to trigger a mandatory conversion at our election, beginning on March 15, 2022, provided certain conditions are met, including our Class A ordinary shares achieving a specified price threshold of 150% of the conversion price for a specified period. If the holder elects to convert, or we cause the holder to convert the entire convertible preferred shares, approximately 33,707,864 Class A ordinary shares will be issued, without taking into account any dividend payable in kind in the form of additional convertible preferred shares.</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as of the date of this prospectus supplement, there are also (i) 24,735,232 ordinary shares issuable upon exercise of outstanding share options at an exercise price of US$0.7792 per share; (ii) 29,385,640 granted but not yet vested restricted shares; and (iii) 17,024,004 ordinary shares reserved for future grant under our share incentive plans.</w:t>
      </w:r>
    </w:p>
    <w:p>
      <w:pPr>
        <w:spacing w:after="0" w:line="194"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The foregoing discussion and tables do not reflect potential purchases by STT GDC, one of our major shareholders which is affiliated with, and has the right to appoint, certain of our directors, that has indicated an interest in purchasing ADSs in this offering as described in "Underwriting."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OWNERSHIP OF DIRECTORS, OFFICERS AND PRINCIPAL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SHAREHOLDERS</w:t>
      </w:r>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ordinary shares are divided into Class A ordinary shares and Class B ordinary shares. Holders of Class A ordinary shares are entitled to one vote per share, while holders of Class B ordinary shares are entitled to 20 votes per share with respect to the following matters: (i) the election of a simple majority, or six, of our directors; and (ii) any change to our articles of association that would adversely affect the rights of Class B shareholders. As of the date of this prospectus supplement, we had 1,007,069,640 ordinary shares, comprising 939,479,304 Class A ordinary shares (including 5,208,216 Class A ordinary shares held by JPMorgan Chase Bank, N.A., as depositary, which are reserved for future delivery upon exercise or vesting of share awards granted under our share incentive plans) and 67,590,336 Class B ordinary shares issued and outstanding.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the following table sets forth information concerning the beneficial ownership of our ordinary shares as of December 31, 2018, by:</w:t>
      </w:r>
    </w:p>
    <w:p>
      <w:pPr>
        <w:spacing w:after="0" w:line="24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each of our directors and executive officers; and</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each person known to us to own beneficially 5.0% or more of our ordinary shares.</w:t>
      </w:r>
    </w:p>
    <w:p>
      <w:pPr>
        <w:spacing w:after="0" w:line="25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or the power to receive the economic benefit of ownership of, the securities. In computing the number of shares beneficially owned by a person and the percentage ownership of that person, we have included shares that the person has the right to acquire within 60 days after December 31, 2018, the most recent practicable date, including through the exercise of any option or other right or the conversion of any other security. These shares, however, are not included in the computation of the percentage ownership of any other person. The percentages before and after this offering are calculated excluding the 5,208,216 Class A ordinary shares that are held by JPMorgan Chase Bank, N.A., as depositary, and reserved for future delivery in respect of share awards. The percentages after this offering are calculated after giving effect to the sale by us of approximately 95,522,392 Class A ordinary shares in the form of ADSs pursuant to this prospectus supplement, at the public offering price of US$33.50 per ADS, assuming the underwriters do not exercise their option to purchase additional ADSs.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does not reflect any Class A ordinary shares in the form of ADSs that may be purchased in this offering by STT GDC, which has indicated an interest in purchasing up to 6,373,134 ADSs in this offering at the public offering price.</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8"/>
              </w:rPr>
              <w:t>% of Aggregate Voting</w:t>
            </w: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Power</w:t>
            </w: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9"/>
              </w:rPr>
              <w:t>with</w:t>
            </w: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with</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Class A</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Class A</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0" w:type="dxa"/>
            <w:vAlign w:val="bottom"/>
            <w:gridSpan w:val="8"/>
            <w:vMerge w:val="restart"/>
          </w:tcPr>
          <w:p>
            <w:pPr>
              <w:jc w:val="center"/>
              <w:ind w:right="120"/>
              <w:spacing w:after="0"/>
              <w:rPr>
                <w:sz w:val="20"/>
                <w:szCs w:val="20"/>
                <w:color w:val="auto"/>
              </w:rPr>
            </w:pPr>
            <w:r>
              <w:rPr>
                <w:rFonts w:ascii="Arial" w:cs="Arial" w:eastAsia="Arial" w:hAnsi="Arial"/>
                <w:sz w:val="13"/>
                <w:szCs w:val="13"/>
                <w:b w:val="1"/>
                <w:bCs w:val="1"/>
                <w:color w:val="auto"/>
                <w:w w:val="94"/>
              </w:rPr>
              <w:t>Ordinary Shares Beneficially Owned</w:t>
            </w:r>
          </w:p>
        </w:tc>
        <w:tc>
          <w:tcPr>
            <w:tcW w:w="2800" w:type="dxa"/>
            <w:vAlign w:val="bottom"/>
            <w:gridSpan w:val="9"/>
            <w:vMerge w:val="restart"/>
          </w:tcPr>
          <w:p>
            <w:pPr>
              <w:jc w:val="center"/>
              <w:ind w:right="160"/>
              <w:spacing w:after="0"/>
              <w:rPr>
                <w:sz w:val="20"/>
                <w:szCs w:val="20"/>
                <w:color w:val="auto"/>
              </w:rPr>
            </w:pPr>
            <w:r>
              <w:rPr>
                <w:rFonts w:ascii="Arial" w:cs="Arial" w:eastAsia="Arial" w:hAnsi="Arial"/>
                <w:sz w:val="13"/>
                <w:szCs w:val="13"/>
                <w:b w:val="1"/>
                <w:bCs w:val="1"/>
                <w:color w:val="auto"/>
                <w:w w:val="94"/>
              </w:rPr>
              <w:t>Ordinary Shares Beneficially Owned</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and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0" w:type="dxa"/>
            <w:vAlign w:val="bottom"/>
            <w:gridSpan w:val="8"/>
            <w:vMerge w:val="continue"/>
          </w:tcPr>
          <w:p>
            <w:pPr>
              <w:spacing w:after="0"/>
              <w:rPr>
                <w:sz w:val="11"/>
                <w:szCs w:val="11"/>
                <w:color w:val="auto"/>
              </w:rPr>
            </w:pPr>
          </w:p>
        </w:tc>
        <w:tc>
          <w:tcPr>
            <w:tcW w:w="2800" w:type="dxa"/>
            <w:vAlign w:val="bottom"/>
            <w:gridSpan w:val="9"/>
            <w:vMerge w:val="continue"/>
          </w:tcPr>
          <w:p>
            <w:pPr>
              <w:spacing w:after="0"/>
              <w:rPr>
                <w:sz w:val="11"/>
                <w:szCs w:val="11"/>
                <w:color w:val="auto"/>
              </w:rPr>
            </w:pPr>
          </w:p>
        </w:tc>
        <w:tc>
          <w:tcPr>
            <w:tcW w:w="78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2"/>
              </w:rPr>
              <w:t>Class B</w:t>
            </w:r>
          </w:p>
        </w:tc>
        <w:tc>
          <w:tcPr>
            <w:tcW w:w="88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2"/>
              </w:rPr>
              <w:t>Class B</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193"/>
              <w:spacing w:after="0"/>
              <w:rPr>
                <w:sz w:val="20"/>
                <w:szCs w:val="20"/>
                <w:color w:val="auto"/>
              </w:rPr>
            </w:pPr>
            <w:r>
              <w:rPr>
                <w:rFonts w:ascii="Arial" w:cs="Arial" w:eastAsia="Arial" w:hAnsi="Arial"/>
                <w:sz w:val="13"/>
                <w:szCs w:val="13"/>
                <w:b w:val="1"/>
                <w:bCs w:val="1"/>
                <w:color w:val="auto"/>
                <w:w w:val="99"/>
              </w:rPr>
              <w:t>Prior to</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left="293"/>
              <w:spacing w:after="0"/>
              <w:rPr>
                <w:sz w:val="20"/>
                <w:szCs w:val="20"/>
                <w:color w:val="auto"/>
              </w:rPr>
            </w:pPr>
            <w:r>
              <w:rPr>
                <w:rFonts w:ascii="Arial" w:cs="Arial" w:eastAsia="Arial" w:hAnsi="Arial"/>
                <w:sz w:val="13"/>
                <w:szCs w:val="13"/>
                <w:b w:val="1"/>
                <w:bCs w:val="1"/>
                <w:color w:val="auto"/>
                <w:w w:val="98"/>
              </w:rPr>
              <w:t>After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Ordinary</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Ordinary</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193"/>
              <w:spacing w:after="0" w:line="129" w:lineRule="exact"/>
              <w:rPr>
                <w:sz w:val="20"/>
                <w:szCs w:val="20"/>
                <w:color w:val="auto"/>
              </w:rPr>
            </w:pPr>
            <w:r>
              <w:rPr>
                <w:rFonts w:ascii="Arial" w:cs="Arial" w:eastAsia="Arial" w:hAnsi="Arial"/>
                <w:sz w:val="13"/>
                <w:szCs w:val="13"/>
                <w:b w:val="1"/>
                <w:bCs w:val="1"/>
                <w:color w:val="auto"/>
                <w:w w:val="96"/>
              </w:rPr>
              <w:t>This Offering</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center"/>
              <w:ind w:right="193"/>
              <w:spacing w:after="0" w:line="129" w:lineRule="exact"/>
              <w:rPr>
                <w:sz w:val="20"/>
                <w:szCs w:val="20"/>
                <w:color w:val="auto"/>
              </w:rPr>
            </w:pPr>
            <w:r>
              <w:rPr>
                <w:rFonts w:ascii="Arial" w:cs="Arial" w:eastAsia="Arial" w:hAnsi="Arial"/>
                <w:sz w:val="13"/>
                <w:szCs w:val="13"/>
                <w:b w:val="1"/>
                <w:bCs w:val="1"/>
                <w:color w:val="auto"/>
                <w:w w:val="96"/>
              </w:rPr>
              <w:t>This Offering</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2"/>
              </w:rPr>
              <w:t>Shares</w:t>
            </w: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Shares</w:t>
            </w:r>
          </w:p>
        </w:tc>
        <w:tc>
          <w:tcPr>
            <w:tcW w:w="0" w:type="dxa"/>
            <w:vAlign w:val="bottom"/>
          </w:tcPr>
          <w:p>
            <w:pPr>
              <w:spacing w:after="0"/>
              <w:rPr>
                <w:sz w:val="1"/>
                <w:szCs w:val="1"/>
                <w:color w:val="auto"/>
              </w:rPr>
            </w:pPr>
          </w:p>
        </w:tc>
      </w:tr>
      <w:tr>
        <w:trPr>
          <w:trHeight w:val="143"/>
        </w:trPr>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4"/>
            <w:vMerge w:val="restart"/>
          </w:tcPr>
          <w:p>
            <w:pPr>
              <w:jc w:val="right"/>
              <w:ind w:right="560"/>
              <w:spacing w:after="0"/>
              <w:rPr>
                <w:sz w:val="20"/>
                <w:szCs w:val="20"/>
                <w:color w:val="auto"/>
              </w:rPr>
            </w:pPr>
            <w:r>
              <w:rPr>
                <w:rFonts w:ascii="Arial" w:cs="Arial" w:eastAsia="Arial" w:hAnsi="Arial"/>
                <w:sz w:val="13"/>
                <w:szCs w:val="13"/>
                <w:b w:val="1"/>
                <w:bCs w:val="1"/>
                <w:color w:val="auto"/>
              </w:rPr>
              <w:t>Class A</w:t>
            </w:r>
          </w:p>
        </w:tc>
        <w:tc>
          <w:tcPr>
            <w:tcW w:w="136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Class B</w:t>
            </w:r>
          </w:p>
        </w:tc>
        <w:tc>
          <w:tcPr>
            <w:tcW w:w="1480" w:type="dxa"/>
            <w:vAlign w:val="bottom"/>
            <w:gridSpan w:val="5"/>
            <w:vMerge w:val="restart"/>
          </w:tcPr>
          <w:p>
            <w:pPr>
              <w:ind w:left="420"/>
              <w:spacing w:after="0"/>
              <w:rPr>
                <w:sz w:val="20"/>
                <w:szCs w:val="20"/>
                <w:color w:val="auto"/>
              </w:rPr>
            </w:pPr>
            <w:r>
              <w:rPr>
                <w:rFonts w:ascii="Arial" w:cs="Arial" w:eastAsia="Arial" w:hAnsi="Arial"/>
                <w:sz w:val="13"/>
                <w:szCs w:val="13"/>
                <w:b w:val="1"/>
                <w:bCs w:val="1"/>
                <w:color w:val="auto"/>
              </w:rPr>
              <w:t>Class A</w:t>
            </w:r>
          </w:p>
        </w:tc>
        <w:tc>
          <w:tcPr>
            <w:tcW w:w="132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Class B</w:t>
            </w:r>
          </w:p>
        </w:tc>
        <w:tc>
          <w:tcPr>
            <w:tcW w:w="7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3"/>
              </w:rPr>
              <w:t>Voting on</w:t>
            </w:r>
          </w:p>
        </w:tc>
        <w:tc>
          <w:tcPr>
            <w:tcW w:w="8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3"/>
              </w:rPr>
              <w:t>Voting on</w:t>
            </w: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a 1:20</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a 1:1</w:t>
            </w:r>
          </w:p>
        </w:tc>
        <w:tc>
          <w:tcPr>
            <w:tcW w:w="0" w:type="dxa"/>
            <w:vAlign w:val="bottom"/>
          </w:tcPr>
          <w:p>
            <w:pPr>
              <w:spacing w:after="0"/>
              <w:rPr>
                <w:sz w:val="1"/>
                <w:szCs w:val="1"/>
                <w:color w:val="auto"/>
              </w:rPr>
            </w:pPr>
          </w:p>
        </w:tc>
      </w:tr>
      <w:tr>
        <w:trPr>
          <w:trHeight w:val="62"/>
        </w:trPr>
        <w:tc>
          <w:tcPr>
            <w:tcW w:w="1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Percent</w:t>
            </w:r>
          </w:p>
        </w:tc>
        <w:tc>
          <w:tcPr>
            <w:tcW w:w="660" w:type="dxa"/>
            <w:vAlign w:val="bottom"/>
          </w:tcPr>
          <w:p>
            <w:pPr>
              <w:jc w:val="right"/>
              <w:ind w:right="33"/>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Percent</w:t>
            </w: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Percent</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Percent</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Basis***</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0" w:type="dxa"/>
            <w:vAlign w:val="bottom"/>
          </w:tcPr>
          <w:p>
            <w:pPr>
              <w:spacing w:after="0"/>
              <w:rPr>
                <w:sz w:val="1"/>
                <w:szCs w:val="1"/>
                <w:color w:val="auto"/>
              </w:rPr>
            </w:pPr>
          </w:p>
        </w:tc>
      </w:tr>
      <w:tr>
        <w:trPr>
          <w:trHeight w:val="129"/>
        </w:trPr>
        <w:tc>
          <w:tcPr>
            <w:tcW w:w="21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Directors and Executive</w:t>
            </w: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Officers**: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William Wei Huang(1)</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78,891,429</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100.0%</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78,891,429</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100.0%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56.5%</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Daniel Newman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Jamie Gee Choo Khoo</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Sio Tat Hiang</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Satoshi Okada</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Bruno Lopez</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rPr>
                <w:sz w:val="20"/>
                <w:szCs w:val="20"/>
                <w:color w:val="auto"/>
              </w:rPr>
            </w:pPr>
            <w:r>
              <w:rPr>
                <w:rFonts w:ascii="Arial" w:cs="Arial" w:eastAsia="Arial" w:hAnsi="Arial"/>
                <w:sz w:val="13"/>
                <w:szCs w:val="13"/>
                <w:color w:val="auto"/>
              </w:rPr>
              <w:t>Lee Choong Kwong</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 Ah Doo</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Bin Yu</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Zulkifli Baharudin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Chang Sun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Gary J. Wojtaszek</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rPr>
                <w:sz w:val="20"/>
                <w:szCs w:val="20"/>
                <w:color w:val="auto"/>
              </w:rPr>
            </w:pPr>
            <w:r>
              <w:rPr>
                <w:rFonts w:ascii="Arial" w:cs="Arial" w:eastAsia="Arial" w:hAnsi="Arial"/>
                <w:sz w:val="13"/>
                <w:szCs w:val="13"/>
                <w:color w:val="auto"/>
              </w:rPr>
              <w:t>Judy Qing Ye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Jonathan King</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Xu Wei</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Yilin Chen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Liang Chen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Yan Liang</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00" w:type="dxa"/>
            <w:vAlign w:val="bottom"/>
            <w:gridSpan w:val="2"/>
          </w:tcPr>
          <w:p>
            <w:pPr>
              <w:spacing w:after="0" w:line="138" w:lineRule="exact"/>
              <w:rPr>
                <w:sz w:val="20"/>
                <w:szCs w:val="20"/>
                <w:color w:val="auto"/>
              </w:rPr>
            </w:pPr>
            <w:r>
              <w:rPr>
                <w:rFonts w:ascii="Arial" w:cs="Arial" w:eastAsia="Arial" w:hAnsi="Arial"/>
                <w:sz w:val="13"/>
                <w:szCs w:val="13"/>
                <w:color w:val="auto"/>
              </w:rPr>
              <w:t>Directors and Executive Officers as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gridSpan w:val="2"/>
          </w:tcPr>
          <w:p>
            <w:pPr>
              <w:ind w:left="120"/>
              <w:spacing w:after="0"/>
              <w:rPr>
                <w:sz w:val="20"/>
                <w:szCs w:val="20"/>
                <w:color w:val="auto"/>
              </w:rPr>
            </w:pPr>
            <w:r>
              <w:rPr>
                <w:rFonts w:ascii="Arial" w:cs="Arial" w:eastAsia="Arial" w:hAnsi="Arial"/>
                <w:sz w:val="13"/>
                <w:szCs w:val="13"/>
                <w:color w:val="auto"/>
              </w:rPr>
              <w:t>a Group(2)</w:t>
            </w:r>
          </w:p>
        </w:tc>
        <w:tc>
          <w:tcPr>
            <w:tcW w:w="740" w:type="dxa"/>
            <w:vAlign w:val="bottom"/>
          </w:tcPr>
          <w:p>
            <w:pPr>
              <w:jc w:val="right"/>
              <w:spacing w:after="0"/>
              <w:rPr>
                <w:sz w:val="20"/>
                <w:szCs w:val="20"/>
                <w:color w:val="auto"/>
              </w:rPr>
            </w:pPr>
            <w:r>
              <w:rPr>
                <w:rFonts w:ascii="Arial" w:cs="Arial" w:eastAsia="Arial" w:hAnsi="Arial"/>
                <w:sz w:val="13"/>
                <w:szCs w:val="13"/>
                <w:color w:val="auto"/>
              </w:rPr>
              <w:t>19,305,375</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78,891,429</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100%</w:t>
            </w:r>
          </w:p>
        </w:tc>
        <w:tc>
          <w:tcPr>
            <w:tcW w:w="740" w:type="dxa"/>
            <w:vAlign w:val="bottom"/>
          </w:tcPr>
          <w:p>
            <w:pPr>
              <w:jc w:val="right"/>
              <w:spacing w:after="0"/>
              <w:rPr>
                <w:sz w:val="20"/>
                <w:szCs w:val="20"/>
                <w:color w:val="auto"/>
              </w:rPr>
            </w:pPr>
            <w:r>
              <w:rPr>
                <w:rFonts w:ascii="Arial" w:cs="Arial" w:eastAsia="Arial" w:hAnsi="Arial"/>
                <w:sz w:val="13"/>
                <w:szCs w:val="13"/>
                <w:color w:val="auto"/>
              </w:rPr>
              <w:t>19,305,375</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78,891,429</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100%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57.1%</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Principal Shareholders: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STT GDC(3)</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354,937,732</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38.0%</w:t>
            </w: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354,937,732</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34.5%</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SBCVC Holdings Limited(4)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61,192,230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61,192,230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rPr>
                <w:sz w:val="20"/>
                <w:szCs w:val="20"/>
                <w:color w:val="auto"/>
              </w:rPr>
            </w:pPr>
            <w:r>
              <w:rPr>
                <w:rFonts w:ascii="Arial" w:cs="Arial" w:eastAsia="Arial" w:hAnsi="Arial"/>
                <w:sz w:val="13"/>
                <w:szCs w:val="13"/>
                <w:color w:val="auto"/>
              </w:rPr>
              <w:t>CyrusOne Inc.(5)</w:t>
            </w:r>
          </w:p>
        </w:tc>
        <w:tc>
          <w:tcPr>
            <w:tcW w:w="740" w:type="dxa"/>
            <w:vAlign w:val="bottom"/>
          </w:tcPr>
          <w:p>
            <w:pPr>
              <w:jc w:val="right"/>
              <w:spacing w:after="0"/>
              <w:rPr>
                <w:sz w:val="20"/>
                <w:szCs w:val="20"/>
                <w:color w:val="auto"/>
              </w:rPr>
            </w:pPr>
            <w:r>
              <w:rPr>
                <w:rFonts w:ascii="Arial" w:cs="Arial" w:eastAsia="Arial" w:hAnsi="Arial"/>
                <w:sz w:val="13"/>
                <w:szCs w:val="13"/>
                <w:color w:val="auto"/>
              </w:rPr>
              <w:t>64,257,028</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6.9%</w:t>
            </w:r>
          </w:p>
        </w:tc>
        <w:tc>
          <w:tcPr>
            <w:tcW w:w="66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tcPr>
          <w:p>
            <w:pPr>
              <w:jc w:val="right"/>
              <w:spacing w:after="0"/>
              <w:rPr>
                <w:sz w:val="20"/>
                <w:szCs w:val="20"/>
                <w:color w:val="auto"/>
              </w:rPr>
            </w:pPr>
            <w:r>
              <w:rPr>
                <w:rFonts w:ascii="Arial" w:cs="Arial" w:eastAsia="Arial" w:hAnsi="Arial"/>
                <w:sz w:val="13"/>
                <w:szCs w:val="13"/>
                <w:color w:val="auto"/>
              </w:rPr>
              <w:t>64,257,028</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6.2%</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Ping An Insurance(6)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63,369,856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63,369,856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â€”</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â€”</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72"/>
        </w:trPr>
        <w:tc>
          <w:tcPr>
            <w:tcW w:w="2100" w:type="dxa"/>
            <w:vAlign w:val="bottom"/>
            <w:gridSpan w:val="2"/>
          </w:tcPr>
          <w:p>
            <w:pPr>
              <w:spacing w:after="0"/>
              <w:rPr>
                <w:sz w:val="20"/>
                <w:szCs w:val="20"/>
                <w:color w:val="auto"/>
              </w:rPr>
            </w:pPr>
            <w:r>
              <w:rPr>
                <w:rFonts w:ascii="Arial" w:cs="Arial" w:eastAsia="Arial" w:hAnsi="Arial"/>
                <w:sz w:val="13"/>
                <w:szCs w:val="13"/>
                <w:color w:val="auto"/>
              </w:rPr>
              <w:t>EDC Group Limited(7)</w:t>
            </w:r>
          </w:p>
        </w:tc>
        <w:tc>
          <w:tcPr>
            <w:tcW w:w="74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42,975,884</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54.5%</w:t>
            </w:r>
          </w:p>
        </w:tc>
        <w:tc>
          <w:tcPr>
            <w:tcW w:w="740" w:type="dxa"/>
            <w:vAlign w:val="bottom"/>
          </w:tcPr>
          <w:p>
            <w:pPr>
              <w:jc w:val="right"/>
              <w:spacing w:after="0"/>
              <w:rPr>
                <w:sz w:val="20"/>
                <w:szCs w:val="20"/>
                <w:color w:val="auto"/>
              </w:rPr>
            </w:pPr>
            <w:r>
              <w:rPr>
                <w:rFonts w:ascii="Arial" w:cs="Arial" w:eastAsia="Arial" w:hAnsi="Arial"/>
                <w:sz w:val="13"/>
                <w:szCs w:val="13"/>
                <w:color w:val="auto"/>
              </w:rPr>
              <w:t>â€”</w:t>
            </w:r>
          </w:p>
        </w:tc>
        <w:tc>
          <w:tcPr>
            <w:tcW w:w="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â€”</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42,975,884</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â€”</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36.1%</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84"/>
        </w:trPr>
        <w:tc>
          <w:tcPr>
            <w:tcW w:w="1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Notes:</w:t>
      </w:r>
    </w:p>
    <w:p>
      <w:pPr>
        <w:spacing w:after="0" w:line="202" w:lineRule="exact"/>
        <w:rPr>
          <w:sz w:val="20"/>
          <w:szCs w:val="20"/>
          <w:color w:val="auto"/>
        </w:rPr>
      </w:pPr>
    </w:p>
    <w:p>
      <w:pPr>
        <w:ind w:left="1700" w:hanging="536"/>
        <w:spacing w:after="0"/>
        <w:tabs>
          <w:tab w:leader="none" w:pos="1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Beneficially owns less than 1% of our outstanding shares.</w:t>
      </w:r>
    </w:p>
    <w:p>
      <w:pPr>
        <w:spacing w:after="0" w:line="134" w:lineRule="exact"/>
        <w:rPr>
          <w:sz w:val="20"/>
          <w:szCs w:val="20"/>
          <w:color w:val="auto"/>
        </w:rPr>
      </w:pPr>
    </w:p>
    <w:p>
      <w:pPr>
        <w:ind w:left="1700" w:right="200" w:hanging="536"/>
        <w:spacing w:after="0" w:line="274" w:lineRule="auto"/>
        <w:tabs>
          <w:tab w:leader="none" w:pos="17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business address for our directors and executive officers is at 2/F, Tower 2, Youyou Century Place, 428 South Yanggao Road, Pudong, Shanghai 200127, People's Republic of China.</w:t>
      </w:r>
    </w:p>
    <w:p>
      <w:pPr>
        <w:spacing w:after="0" w:line="90" w:lineRule="exact"/>
        <w:rPr>
          <w:rFonts w:ascii="Arial" w:cs="Arial" w:eastAsia="Arial" w:hAnsi="Arial"/>
          <w:sz w:val="13"/>
          <w:szCs w:val="13"/>
          <w:color w:val="auto"/>
        </w:rPr>
      </w:pPr>
    </w:p>
    <w:p>
      <w:pPr>
        <w:ind w:left="1700" w:hanging="536"/>
        <w:spacing w:after="0" w:line="270" w:lineRule="auto"/>
        <w:tabs>
          <w:tab w:leader="none" w:pos="17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each person or group included in this column, the percentage of total voting power represents voting power based on all ordinary shares beneficially owned by such person or group, with respect to (i) the election of a simple majority of our directors and (ii) any change to our amended articles of association that would adversely affect the rights of the holders of Class B ordinary shares, at general meetings of our shareholders, where each Class A ordinary share is entitled to one vote per share, and each Class B ordinary share is entitled to 20 votes per share. With respect to any other matters at general meetings of our shareholders, each Class A ordinary share is entitled to one vote, and each Class B ordinary share is entitled to one vote, voting together as a combined class, and accordingly, percentages of total voting power on such matters correspond to the percentages in the adjacent column, "% of Aggregate Voting Power with Class A and Class B Ordinary Shares Voting on a 1:1 Basis". Class B ordinary shares are convertible into Class A ordinary shares.</w:t>
      </w:r>
    </w:p>
    <w:p>
      <w:pPr>
        <w:spacing w:after="0" w:line="95" w:lineRule="exact"/>
        <w:rPr>
          <w:sz w:val="20"/>
          <w:szCs w:val="20"/>
          <w:color w:val="auto"/>
        </w:rPr>
      </w:pPr>
    </w:p>
    <w:p>
      <w:pPr>
        <w:ind w:left="1700" w:hanging="536"/>
        <w:spacing w:after="0"/>
        <w:tabs>
          <w:tab w:leader="none" w:pos="17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number of ordinary shares beneficially owned is as of December 31, 2018, as reported in a Schedule 13G filed by Mr. William Wei Huang on February 11, 2019, and consists of</w:t>
      </w:r>
    </w:p>
    <w:p>
      <w:pPr>
        <w:spacing w:after="0" w:line="22" w:lineRule="exact"/>
        <w:rPr>
          <w:rFonts w:ascii="Arial" w:cs="Arial" w:eastAsia="Arial" w:hAnsi="Arial"/>
          <w:sz w:val="12"/>
          <w:szCs w:val="12"/>
          <w:color w:val="auto"/>
        </w:rPr>
      </w:pPr>
    </w:p>
    <w:p>
      <w:pPr>
        <w:ind w:left="1700" w:right="40"/>
        <w:spacing w:after="0" w:line="241" w:lineRule="auto"/>
        <w:rPr>
          <w:rFonts w:ascii="Arial" w:cs="Arial" w:eastAsia="Arial" w:hAnsi="Arial"/>
          <w:sz w:val="12"/>
          <w:szCs w:val="12"/>
          <w:color w:val="auto"/>
        </w:rPr>
      </w:pPr>
      <w:r>
        <w:rPr>
          <w:rFonts w:ascii="Arial" w:cs="Arial" w:eastAsia="Arial" w:hAnsi="Arial"/>
          <w:sz w:val="13"/>
          <w:szCs w:val="13"/>
          <w:color w:val="auto"/>
        </w:rPr>
        <w:t>(i) 3,286,144 Class B ordinary shares held by Solution Leisure Investment Limited, a limited liability company established in the British Virgin Islands, (ii) 42,975,884 Class B ordinary shares held by EDC Group Limited, a limited liability company established in the British Virgin Islands, (iii) 21,328,308 Class B ordinary shares held by GDS Enterprises Limited, a limited liability company established in the British Virgin Islands, (iv) 11,301,093 of Class B ordinary shares underlying share options exercisable within 60 days after the date of this prospectus supplement held by Treasure Luck Investment Corporation, a limited liability company established in the British Virgin Islands, and (v) 325,608 Class A ordinary shares in the form of 40,701 ADSs underlying restricted share units exercisable within 60 days after December 31, 2018 held by Mr. William Wei Huang. Solution Leisure Investment Limited is indirectly wholly owned by a trust of which Mr. Huang's family is the beneficiary. Each of EDC Group Limited and Treasure Luck Investment Corporation is wholly owned by Solution Leisure Investment Limited.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right="460"/>
        <w:spacing w:after="0" w:line="274" w:lineRule="auto"/>
        <w:rPr>
          <w:sz w:val="20"/>
          <w:szCs w:val="20"/>
          <w:color w:val="auto"/>
        </w:rPr>
      </w:pPr>
      <w:r>
        <w:rPr>
          <w:rFonts w:ascii="Arial" w:cs="Arial" w:eastAsia="Arial" w:hAnsi="Arial"/>
          <w:sz w:val="13"/>
          <w:szCs w:val="13"/>
          <w:color w:val="auto"/>
        </w:rPr>
        <w:t>GDS Enterprises Limited is indirectly wholly owned by a trust of which Mr. Huang's family is a beneficiary. The registered address of Solution Leisure Investment Limited is Portcullis TrustNet Chambers, P.O. Box 3444, Road Town, Tortola, British Virgin Islands. EDC Group Limited is further described in footnote 7 below.</w:t>
      </w:r>
    </w:p>
    <w:p>
      <w:pPr>
        <w:spacing w:after="0" w:line="158" w:lineRule="exact"/>
        <w:rPr>
          <w:sz w:val="20"/>
          <w:szCs w:val="20"/>
          <w:color w:val="auto"/>
        </w:rPr>
      </w:pPr>
    </w:p>
    <w:p>
      <w:pPr>
        <w:ind w:left="1700" w:right="200" w:hanging="536"/>
        <w:spacing w:after="0" w:line="274" w:lineRule="auto"/>
        <w:tabs>
          <w:tab w:leader="none" w:pos="17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ordinary shares beneficially held by all of our directors and executive officers as a group and ordinary shares issuable upon exercise of options and vesting of restricted share units within 60 days after the date of this prospectus supplement held by all of our directors and executive officers as a group.</w:t>
      </w:r>
    </w:p>
    <w:p>
      <w:pPr>
        <w:spacing w:after="0" w:line="90" w:lineRule="exact"/>
        <w:rPr>
          <w:rFonts w:ascii="Arial" w:cs="Arial" w:eastAsia="Arial" w:hAnsi="Arial"/>
          <w:sz w:val="13"/>
          <w:szCs w:val="13"/>
          <w:color w:val="auto"/>
        </w:rPr>
      </w:pPr>
    </w:p>
    <w:p>
      <w:pPr>
        <w:ind w:left="1700" w:right="80" w:hanging="536"/>
        <w:spacing w:after="0" w:line="262" w:lineRule="auto"/>
        <w:tabs>
          <w:tab w:leader="none" w:pos="17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number of ordinary shares beneficially owned is as of March 13, 2019, and consists of 354,937,732 Class A ordinary shares (directly or in the form of ADSs) owned by STT GDC. STT GDC is wholly-owned by STT Communications Ltd ("STTC"). STTC is wholly-owned by Singapore Technologies Telemedia Pte Ltd ("ST Telemedia"). Each of STT GDC, STTC and ST Telemedia is a company organized under the laws of the Republic of Singapore. The address of the principal business office of STT GDC is 3 Temasek Avenue, #28-01, Centennial Tower, Singapore 039190. The address of the principal business office of each of ST Telemedia and STTC is 1 Temasek Avenue, #33-01, Millenia Tower, Singapore 039192. On November 14, 2017, STT GDC exercised its option to convert, and converted, the convertible bonds in a principal amount of US$50.0 million due December 30, 2019 (the "Convertible Bonds") then held by it, together with interest accrued thereon of US$4,513,889.00, into 32,540,515 Class A ordinary shares, at a conversion price of US$1.675262 per Class A ordinary share pursuant to and in accordance with the terms and conditions of the Convertible Bonds. On January 30, 2018, we completed our public offering of 12,650,000 ADSs, comprising 8,225,000 ADSs offered by us and 4,425,000 ADSs offered by certain selling shareholders, at a public offering price of US$26.00 per ADS (the "January 2018 Offering"). STT GDC purchased an aggregate of 3,009,857 ADSs in the January 2018 Offering at the public offering price. STT GDC has indicated an interest in purchasing up to 6,373,134 ADSs in this offering at the public offering price. However, because indications of interest are not binding agreements or commitments to purchase, the underwriters could determine to sell more, less or no ADSs to STT GDC, and STT GDC could determine to purchase more, less or no ADSs in this offering. The underwriters will receive the same underwriting discounts and commissions on any ADSs purchased by STT GDC as they will on any other ADSs sold to the public in this offering. If STT GDC purchases any of these ADSs, the number of Class A ordinary shares beneficially owned by it after this offering, and the percentage of our Class A ordinary shares beneficially owned by it after this offering, will differ from that set forth in the table above. Assuming the purchase of all of these Class A ordinary shares by STT GDC, the number of Class A ordinary shares beneficially owned by STT GDC after this offering would increase from 354,937,732 to 405,922,804, and the percentage of Class A ordinary shares beneficially owned by STT GDC after this offering would increase to approximately 39.4%.</w:t>
      </w:r>
    </w:p>
    <w:p>
      <w:pPr>
        <w:spacing w:after="0" w:line="100" w:lineRule="exact"/>
        <w:rPr>
          <w:rFonts w:ascii="Arial" w:cs="Arial" w:eastAsia="Arial" w:hAnsi="Arial"/>
          <w:sz w:val="12"/>
          <w:szCs w:val="12"/>
          <w:color w:val="auto"/>
        </w:rPr>
      </w:pPr>
    </w:p>
    <w:p>
      <w:pPr>
        <w:ind w:left="1700" w:right="20" w:hanging="536"/>
        <w:spacing w:after="0" w:line="265" w:lineRule="auto"/>
        <w:tabs>
          <w:tab w:leader="none" w:pos="17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number of ordinary shares beneficially owned is as of March 13, 2019 and consists of 61,192,230 Class A ordinary shares beneficially owned by SBCVC Fund II-Annex, L.P., a Cayman Islands limited partnership of which SBCVC Management II-Annex, L.P. is the general partner, SBCVC Venture Capital, a People's Republic of China company, treated as a partnership for tax purposes, of which SBCVC Limited is the general partner, SBCVC Company Limited, a Hong Kong company which is wholly-owned by SBCVC Fund II, L.P.</w:t>
      </w:r>
    </w:p>
    <w:p>
      <w:pPr>
        <w:ind w:left="1700"/>
        <w:spacing w:after="0" w:line="261" w:lineRule="auto"/>
        <w:rPr>
          <w:rFonts w:ascii="Arial" w:cs="Arial" w:eastAsia="Arial" w:hAnsi="Arial"/>
          <w:sz w:val="12"/>
          <w:szCs w:val="12"/>
          <w:color w:val="auto"/>
        </w:rPr>
      </w:pPr>
      <w:r>
        <w:rPr>
          <w:rFonts w:ascii="Arial" w:cs="Arial" w:eastAsia="Arial" w:hAnsi="Arial"/>
          <w:sz w:val="12"/>
          <w:szCs w:val="12"/>
          <w:color w:val="auto"/>
        </w:rPr>
        <w:t>("SBCVC Fund II"), SBCVC Fund II, a Cayman Islands limited partnership of which SBCVC Management II, L.P. ("SBCVC Management II") is the general partner, and SBCVC Fund III, L.P. ("SBCVC Fund III"), a Cayman Islands limited partnership of which SBCVC Management III, L.P. ("SBCVC Management III") is the general partner. Each of SBCVC Management II-Annex, L.P., SBCVC Management II and SBCVC Management III is a Cayman Islands limited partnership of which SBCVC Limited is the general partner. SBCVC Limited is a Cayman Islands company that is majority-owned by Star Pioneer Investment Holdings Limited ("Star Pioneer"), a British Virgin Islands company. Star Pioneer is wholly-owned by Lin Ye Song, a citizen of Australia. The voting and investment decisions made by SBCVC Limited are executed by SBCVC Holdings Limited ("SBCVC Holdings"), a British Virgin Islands company, by means of management agreements by and between SBCVC Holdings and each of the following entities: SBCVC Management II-Annex, L.P., SBCVC Venture Capital, SBCVC Management II and SBCVC Management III. The power to execute SBCVC Limited's voting and investment decisions is exercised by the board of directors of SBCVC Holdings. SBCVC Holdings executes voting and investment decisions made by SBCVC Limited as to the shares beneficially owned by it and its subsidiary general partners by means of multiple management agreements, but decision-making power remains with SBCVC Limited and its subsidiary general partners. The address of the principal business office of each of SBCVC Fund II and SBCVC Fund III is Cricket Square, Hutchins Drive, P.O. Box 2681GT, Grand Cayman KY1-111, Cayman Islands. The address of the principal business office of each of SBCVC Management II, SBCVC Management III and SBCVC Limited is Cricket Square, Hutchins Dr., PO Box 2681GT, George Town, Grand Cayman, Cayman Islands KY1-111. The address of the principal business office of Star Pioneer is OMC Chambers, P.O. Box 3152, Road Town, Tortola, British Virgin Islands. The address of the principal business office of SBCVC Holdings is OMC Chambers, Wickham Cay 1, Road Town, Tortola, British Virgin Islands. On January 30, 2018, we completed our public offering of 12,650,000 ADSs, comprising 8,225,000 ADSs offered by us and 4,425,000 ADSs offered by certain selling shareholder entities affiliated with SBCVC Holdings Limited, at a public offering price of US$26.00 per ADS (the "January 2018 Offering").</w:t>
      </w:r>
    </w:p>
    <w:p>
      <w:pPr>
        <w:spacing w:after="0" w:line="99" w:lineRule="exact"/>
        <w:rPr>
          <w:rFonts w:ascii="Arial" w:cs="Arial" w:eastAsia="Arial" w:hAnsi="Arial"/>
          <w:sz w:val="12"/>
          <w:szCs w:val="12"/>
          <w:color w:val="auto"/>
        </w:rPr>
      </w:pPr>
    </w:p>
    <w:p>
      <w:pPr>
        <w:ind w:left="1700" w:right="60" w:hanging="536"/>
        <w:spacing w:after="0" w:line="250" w:lineRule="auto"/>
        <w:tabs>
          <w:tab w:leader="none" w:pos="17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number of ordinary shares beneficially owned is as of October 23, 2017, as reported in a Schedule 13D filed by CyrusOne Inc. on November 2, 2017, and consists of 64,257,028 Class A ordinary shares that are held by Cheetah Asia Holdings LLC, a Delaware company and a wholly owned subsidiary of CyrusOne Inc., a Maryland corporation listed on Nasdaq. The address of the principal business and the principal office of each of Cheetah Asia Holdings LLC and CyrusOne Inc. is 2101 Cedar Springs Road, Suite 900, Dallas, TX 75201, United States.</w:t>
      </w:r>
    </w:p>
    <w:p>
      <w:pPr>
        <w:spacing w:after="0" w:line="106" w:lineRule="exact"/>
        <w:rPr>
          <w:rFonts w:ascii="Arial" w:cs="Arial" w:eastAsia="Arial" w:hAnsi="Arial"/>
          <w:sz w:val="13"/>
          <w:szCs w:val="13"/>
          <w:color w:val="auto"/>
        </w:rPr>
      </w:pPr>
    </w:p>
    <w:p>
      <w:pPr>
        <w:ind w:left="1700" w:right="60" w:hanging="536"/>
        <w:spacing w:after="0" w:line="243" w:lineRule="auto"/>
        <w:tabs>
          <w:tab w:leader="none" w:pos="17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number of ordinary shares beneficially owned is as of December 31, 2017, as reported in a Schedule 13G filed by Falcon Vision Global Limited on February 13, 2018, and consists of 63,369,856 Class A ordinary shares held by Falcon Vision Global Limited ("Falcon"), a company incorporated under the laws of the British Virgin Islands. Falcon is wholly-owned by Ping An Life Insurance Company of China, Ltd. ("Ping An Life") directly. Ping An Life is directly owned and controlled by Ping An Insurance (Group) Company of China, Ltd. ("Ping An Insurance"), a company listed on the Hong Kong Stock Exchange and the Shanghai Stock Exchange. Ping An Insurance is a company incorporated under the laws of the People's Republic of China. The address of the principal business office of Falcon is Vistra Corporation Services Centre, Wickhams Cay II, Road Town, Tortola, VG1110, British Virgin Islands. The address of the principal business office of Ping An Insurance is 15, 16, 17, 18 Floors, Galaxy Development Center, Fu Hua No. 3 Road, Futian District, Shenzhen, Guang Dong Province, People's Republic of China. On November 14, 2017, Perfect Success Limited ("Perfect Success"), a company incorporated under the laws of the Cayman Islands, exercised its option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right="100"/>
        <w:spacing w:after="0" w:line="265" w:lineRule="auto"/>
        <w:rPr>
          <w:sz w:val="20"/>
          <w:szCs w:val="20"/>
          <w:color w:val="auto"/>
        </w:rPr>
      </w:pPr>
      <w:r>
        <w:rPr>
          <w:rFonts w:ascii="Arial" w:cs="Arial" w:eastAsia="Arial" w:hAnsi="Arial"/>
          <w:sz w:val="12"/>
          <w:szCs w:val="12"/>
          <w:color w:val="auto"/>
        </w:rPr>
        <w:t>convert the convertible bonds in a principal amount of US$100.0 million due December 30, 2019 (the "Convertible Bonds") then held by it, together with interest accrued thereon, into 65,329,748 Class A ordinary shares, at a conversion price of US$1.675262 per Class A ordinary share pursuant to and in accordance with the terms and conditions of the Convertible Bonds, of which 63,369,856 Class A ordinary shares were allotted to Falcon and 1,959,892 Class A ordinary shares were allotted to another entity. The above table does not reflect any convertible preferred shares that may be purchased in the Concurrent Private Convertible Preferred Offering by an affiliate of Ping An Overseas Holdings, which has agreed to make a US$150 million strategic equity investment in us in the form of convertible preferred shares, in reliance upon the exemption from registration provided by Regulation S under the Securities Act. If and when issued, the convertible preferred shares will be convertible into our Class A ordinary shares at the option of their holder, at a conversion rate corresponding to a conversion price of US$35.60 per ADS, for an aggregate of approximately 4,213,483 ADSs, representing 33,707,864 Class A ordinary shares, assuming conversion of the entire US$150 million aggregate principal amount of convertible preferred shares at such conversion rate. This offering is not conditioned on the closing of the Concurrent Private Convertible Preferred Offering, and the Concurrent Private Convertible Preferred Offering is not conditioned on the closing of this offering.</w:t>
      </w:r>
    </w:p>
    <w:p>
      <w:pPr>
        <w:spacing w:after="0" w:line="168" w:lineRule="exact"/>
        <w:rPr>
          <w:sz w:val="20"/>
          <w:szCs w:val="20"/>
          <w:color w:val="auto"/>
        </w:rPr>
      </w:pPr>
    </w:p>
    <w:p>
      <w:pPr>
        <w:ind w:left="1700" w:right="160" w:hanging="536"/>
        <w:spacing w:after="0" w:line="256" w:lineRule="auto"/>
        <w:tabs>
          <w:tab w:leader="none" w:pos="1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EDC Group Limited is a limited liability company established in the British Virgin Islands wholly owned by Solution Leisure Investment Limited, a limited liability company established in the British Virgin Islands which is indirectly wholly owned by a trust of which the family of Mr. William Wei Huang, our chairman and chief executive officer, is the beneficiary. The registered address of EDC Group Limited is OMC Chambers, Wickhams Cay 1, Road Town, Tortola, British Virgin Islands.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October 2017, we formed a new strategic partnership with CyrusOne Inc., or CyrusOne, a premier global data center REIT company, through the execution of a commercial agreement, and the issuance to CyrusOne of 64,257,028 Class A ordinary shares, equivalent to approximately 8.0 million ADSs, at a purchase price of US$1.55625 per ordinary share, or US$12.45 per ADS, for a total consideration of US$100 million.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30, 2018, we completed our follow-on public offering of 12,650,000 ADSs (including full exercise of the underwriters' option to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 ADSs), comprising 8,225,000 ADSs offered and sold by us and 4,425,000 ADSs offered and sold by certain selling shareholder entities affiliated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SBCVC Holdings Limited, or SBCVC, representing an aggregate of 101,200,000 Class A ordinary shares, raising US$204.8 million in proceeds to 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US$110.2 million in proceeds to SBCVC before expenses but after underwriting discounts and commissions. We did not receive any of the proceeds from the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ADSs by SBCVC.</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June 5, 2018, we issued and sold convertible senior notes due in 2025 in an aggregate principal amount of US$300 million, which notes bear interest at a rate of 2% per year, payable on June 1 and December 1 of each year, beginning on December 1, 2018. The convertible senior notes will mature on June 1, 2025, unless earlier redeemed, repurchased or converted in accordance with their terms. The convertible senior notes may be converted into our ADSs, at the option of the holders, at an initial conversion rate of 19.3865 of our ADSs per US$1,000 principal amount of notes, or approximately 5,815,950 ADSs, representing 46,527,600 Class A ordinary shares, assuming conversion of the entire US$300 million aggregate principal amount at the initial conversion rate.</w:t>
      </w:r>
    </w:p>
    <w:p>
      <w:pPr>
        <w:spacing w:after="0" w:line="169" w:lineRule="exact"/>
        <w:rPr>
          <w:sz w:val="20"/>
          <w:szCs w:val="20"/>
          <w:color w:val="auto"/>
        </w:rPr>
      </w:pPr>
    </w:p>
    <w:p>
      <w:pPr>
        <w:ind w:right="160" w:firstLine="351"/>
        <w:spacing w:after="0" w:line="308" w:lineRule="auto"/>
        <w:rPr>
          <w:sz w:val="20"/>
          <w:szCs w:val="20"/>
          <w:color w:val="auto"/>
        </w:rPr>
      </w:pPr>
      <w:r>
        <w:rPr>
          <w:rFonts w:ascii="Arial" w:cs="Arial" w:eastAsia="Arial" w:hAnsi="Arial"/>
          <w:sz w:val="15"/>
          <w:szCs w:val="15"/>
          <w:color w:val="auto"/>
        </w:rPr>
        <w:t>On March 13, 2019, an affiliate of Ping An Overseas Holdings agreed to make a US$150 million equity strategic investment in our company in the form of convertible preferred shares, in reliance upon the exemption from registration provided by Regulation S under the Securities Act. During the first eight years from their issuance date, the convertible preferred shares accrue a minimum 5.0% per annum dividend, payable quarterly in arrears, in cash or in kind in the form of additional convertible preferred shares, at our option. As of the eighth anniversary of the issuance date, the convertible preferred shares accrue a 7.0% per annum minimum dividend, payable quarterly in arrears, in cash only, which dividend rate will further increase by 50 basis points per quarter thereafter for so long as any convertible preferred shares remain outstanding. The convertible preferred shares, if and when issued, will be convertible into our Class A ordinary shares at the option of their holder, at a conversion rate corresponding to a conversion price of US$35.60 per ADSs, representing a premium of 13.3% to the volume weighted average price of our ADSs for the 30 trading days immediately preceding the date of signing the definitive agreement, subject to customary anti-dilution adjustments. We will have the right to trigger a mandatory conversion at its election, beginning on March 15, 2022, provided certain conditions are met, including our Class A ordinary shares achieving a specified price threshold of 150% of the conversion price for a specified period. Holders will not have any redemption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right or put option over the convertible preferred shares, except upon (i) the occurrence of a change of control, or (ii) our ADSs ceasing to be listed for trading on any of the New York Stock Exchange, the Nasdaq Global Select Market or the Nasdaq Global Market. After eight years, we will have certain rights in connection with the redemption of the convertible preference shares at 100% of their face value, and including accrued and unpaid dividends. In addition, for so long as it maintains its shareholding at or above a specified percentage threshold, Ping An Overseas Holdings will have the right to designate one non-voting observer to attend any meetings of our board of directors. The holders of the Convertible Preferred Shares are entitled to (i) vote with the holders of the Ordinary Shares on all matters submitted for a vote of holders of Ordinary Shares and (ii) a number of votes per Convertible Preferred Share equal to the number of Class A Ordinary Share into which each such Convertible Preferred Share is then convertible at the time of the related record date as if the holders of Convertible Preferred Shares were holders of Class A Ordinary Shares. We have also agreed to grant customary registration rights to Ping An Overseas Holdings with respect to the convertible preferred shares and the Class A ordinary shares into which they may be converted.</w:t>
      </w:r>
    </w:p>
    <w:p>
      <w:pPr>
        <w:spacing w:after="0" w:line="17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stated in the footnotes to the table above, we are not aware of any of our shareholders being affiliated with a registered broker-dealer or being in the business of underwriting securities.</w:t>
      </w:r>
    </w:p>
    <w:p>
      <w:pPr>
        <w:spacing w:after="0" w:line="186"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Except as otherwise disclosed in this prospectus supplement, none of our existing shareholders has voting rights that differ from the voting rights of other shareholders. We are not aware of any arrangement that may, at a subsequent date, result in a change of control of our company.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Since our inception, except for the US$50.8 million preference dividend paid to our preferred shareholders upon completion of our initial public offering, of which US$11.4 million was paid in cash and US$39.4 million was paid in the form of 31,490,164 Class A ordinary shares based on the initial public offering price of US$10.00 per ADS, we have not declared or paid any other dividends on our shares. We do not have any present plan to pay any dividends on our Class A ordinary shares or ADSs in the foreseeable future. We intend to retain most, if not all, of our available funds and any future earnings to operate and expand our business.</w:t>
      </w:r>
    </w:p>
    <w:p>
      <w:pPr>
        <w:spacing w:after="0" w:line="20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March 2019, an affiliate of Ping An Overseas Holdings agreed to make a US$150 million equity strategic investment in our company in the form of convertible preferred shares, in reliance upon the exemption from registration provided by Regulation S under the Securities Act. Holders of our convertible preferred shares are entitled to receive cumulative preferred dividends which begin to accrue and accumulate from the date the convertible preferred shares are issued, regardless of whether any funds of our company are legally available for the payment of such dividends. The cumulative preferred dividends generally accrue (i) during the first eight years from the issuance date, at a minimum rate of 5% per annum of a specified value for each convertible preferred share, payable quarterly in arrears, in cash or in kind in the form of additional convertible preferred shares, at our option, and (ii) as of the eighth anniversary of the issuance date, at a minimum rate of 7% per annum of a specified value for each convertible share, payable quarterly in arrears, in cash only, which rate shall be further increased by 50 basis points per quarter thereafter for so long as any convertible preferred shares remain outstanding.</w:t>
      </w:r>
    </w:p>
    <w:p>
      <w:pPr>
        <w:spacing w:after="0" w:line="17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other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our ADS holders to the same extent as holders of our Class A ordinary shares, subject to the terms of the deposit agreement, including the fees and expenses payable thereunder. Cash dividends on our ordinary shares, if any, will be paid in U.S. dollars.</w:t>
      </w:r>
    </w:p>
    <w:p>
      <w:pPr>
        <w:spacing w:after="0" w:line="16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an exempted company incorporated in the Cayman Islands. In order for us to distribute any dividends to our shareholders and ADS holders, we may rely on dividends distributed by our PRC subsidiaries. Certain payments from our PRC subsidiaries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Each of our PRC subsidiaries is required to set aside at least 10% of its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 PRICE INFORMATION FOR OUR ADSS</w:t>
      </w:r>
    </w:p>
    <w:p>
      <w:pPr>
        <w:spacing w:after="0" w:line="231"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Our ADSs, each representing eight of our Class A ordinary shares, have been listed on the Nasdaq Global Market since November 2, 2016 under the ticker symbol "GDS." The table below shows, for the periods indicated, the high and low market prices on the Nasdaq Global Market for our ADSs.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120" w:type="dxa"/>
            <w:vAlign w:val="bottom"/>
            <w:gridSpan w:val="5"/>
          </w:tcPr>
          <w:p>
            <w:pPr>
              <w:ind w:left="220"/>
              <w:spacing w:after="0"/>
              <w:rPr>
                <w:sz w:val="20"/>
                <w:szCs w:val="20"/>
                <w:color w:val="auto"/>
              </w:rPr>
            </w:pPr>
            <w:r>
              <w:rPr>
                <w:rFonts w:ascii="Arial" w:cs="Arial" w:eastAsia="Arial" w:hAnsi="Arial"/>
                <w:sz w:val="13"/>
                <w:szCs w:val="13"/>
                <w:b w:val="1"/>
                <w:bCs w:val="1"/>
                <w:color w:val="auto"/>
              </w:rPr>
              <w:t>Trading Price</w:t>
            </w:r>
          </w:p>
        </w:tc>
      </w:tr>
      <w:tr>
        <w:trPr>
          <w:trHeight w:val="142"/>
        </w:trPr>
        <w:tc>
          <w:tcPr>
            <w:tcW w:w="1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3"/>
                <w:szCs w:val="13"/>
                <w:b w:val="1"/>
                <w:bCs w:val="1"/>
                <w:color w:val="auto"/>
              </w:rPr>
              <w:t>High</w:t>
            </w: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Low</w:t>
            </w:r>
          </w:p>
        </w:tc>
        <w:tc>
          <w:tcPr>
            <w:tcW w:w="1900" w:type="dxa"/>
            <w:vAlign w:val="bottom"/>
            <w:gridSpan w:val="2"/>
          </w:tcPr>
          <w:p>
            <w:pPr>
              <w:spacing w:after="0"/>
              <w:rPr>
                <w:sz w:val="12"/>
                <w:szCs w:val="12"/>
                <w:color w:val="auto"/>
              </w:rPr>
            </w:pPr>
          </w:p>
        </w:tc>
      </w:tr>
      <w:tr>
        <w:trPr>
          <w:trHeight w:val="209"/>
        </w:trPr>
        <w:tc>
          <w:tcPr>
            <w:tcW w:w="17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Highs and Lows</w:t>
            </w:r>
          </w:p>
        </w:tc>
        <w:tc>
          <w:tcPr>
            <w:tcW w:w="3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2016</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10.76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422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rPr>
              <w:t>23.76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2018</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46.18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18.59</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Highs and Lows</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Fourth Quarter 2017</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23.76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11.18</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 2018</w:t>
            </w:r>
          </w:p>
        </w:tc>
        <w:tc>
          <w:tcPr>
            <w:tcW w:w="422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rPr>
              <w:t>31.77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20.03</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Second Quarter 2018</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45.88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 2018</w:t>
            </w:r>
          </w:p>
        </w:tc>
        <w:tc>
          <w:tcPr>
            <w:tcW w:w="422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rPr>
              <w:t>46.18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Fourth Quarter 2018</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35.50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21.19</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Highs and Lows</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October 2018</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35.50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21.19</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November 2018</w:t>
            </w:r>
          </w:p>
        </w:tc>
        <w:tc>
          <w:tcPr>
            <w:tcW w:w="422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rPr>
              <w:t>29.80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December 2018</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31.78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21.26</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2019</w:t>
            </w:r>
          </w:p>
        </w:tc>
        <w:tc>
          <w:tcPr>
            <w:tcW w:w="422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rPr>
              <w:t>29.19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February 2019</w:t>
            </w:r>
          </w:p>
        </w:tc>
        <w:tc>
          <w:tcPr>
            <w:tcW w:w="4220" w:type="dxa"/>
            <w:vAlign w:val="bottom"/>
            <w:gridSpan w:val="3"/>
          </w:tcPr>
          <w:p>
            <w:pPr>
              <w:ind w:left="3660"/>
              <w:spacing w:after="0"/>
              <w:rPr>
                <w:sz w:val="20"/>
                <w:szCs w:val="20"/>
                <w:color w:val="auto"/>
              </w:rPr>
            </w:pPr>
            <w:r>
              <w:rPr>
                <w:rFonts w:ascii="Arial" w:cs="Arial" w:eastAsia="Arial" w:hAnsi="Arial"/>
                <w:sz w:val="18"/>
                <w:szCs w:val="18"/>
                <w:color w:val="auto"/>
              </w:rPr>
              <w:t>34.81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26.80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2019 (through March 14)</w:t>
            </w:r>
          </w:p>
        </w:tc>
        <w:tc>
          <w:tcPr>
            <w:tcW w:w="422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rPr>
              <w:t>36.15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31.66</w:t>
            </w:r>
          </w:p>
        </w:tc>
        <w:tc>
          <w:tcPr>
            <w:tcW w:w="1740" w:type="dxa"/>
            <w:vAlign w:val="bottom"/>
          </w:tcPr>
          <w:p>
            <w:pPr>
              <w:spacing w:after="0"/>
              <w:rPr>
                <w:sz w:val="18"/>
                <w:szCs w:val="18"/>
                <w:color w:val="auto"/>
              </w:rPr>
            </w:pPr>
          </w:p>
        </w:tc>
      </w:tr>
      <w:tr>
        <w:trPr>
          <w:trHeight w:val="430"/>
        </w:trPr>
        <w:tc>
          <w:tcPr>
            <w:tcW w:w="1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S-40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Upon the closing of this offering, we will have 71,517,557 outstanding ADSs, representing approximately 51.9% of our ordinary shares (or 73,308,601 outstanding ADSs, representing approximately 52.5% of our ordinary shares if the underwriters exercise in full their option to purchase additional ADSs from us). In addition, options to purchase an aggregate of approximately 24,735,232 Class A ordinary shares will be outstanding as of the closing of this offering. All of these options are vested. Upon the closing of this offering, we also will have 26,709,656 restricted shares that have been granted but which are not yet vested or will vest within 60 days after the closing of this offering. Moreover, the holders of the convertible preferred shares issued in the Concurrent Private Convertible Preferred Offering may, at their option, convert their convertible preferred shares into our Class A ordinary shares at a conversion rate corresponding to a conversion price of US$35.60 per ADS, for an aggregate of approximately 4,213,483 ADSs, representing 33,707,864 Class A ordinary shares, assuming conversion of the entire US$150 million aggregate principal amount of convertible preferred shares at such conversion rate.</w:t>
      </w:r>
    </w:p>
    <w:p>
      <w:pPr>
        <w:spacing w:after="0" w:line="178"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All of the ADSs sold in this offering and the Class A ordinary shares they represent will be freely transferable without restriction or further registration under the Securities Act except for (i) any ADSs held by our "affiliates", and (ii) any ADSs purchased by STT GDC to the extent it is allocated all or a portion of the aggregate of up to 6,373,134 ADSs that it has indicated an interest in purchasing in this offering, which will be subject to a 90-day lock-up agreement described below. Sales of substantial amounts of our ADSs in the public market could materially and adversely affect prevailing market prices of our ADSs.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our directors, executive officers and certain of our other significant shareholders, including STT GDC and EDC Group Limited, have entered into lock-up agreements prior to the commencement of this offering pursuant to which we and they have agreed, subject to certain exceptions, not to, without the prior written consent of J.P. Morgan Securities LLC, Morgan Stanley &amp; Co. LLC and RBC Capital Markets, LLC, offer, pledge, issue, sell, contract to sell, sell any option or contract to option, right or warrant to purchase, or otherwise transfer or dispose of, directly or indirectly, any of our ordinary shares, in the form of ADSs or otherwise, or any securities convertible into or exchangeable or exercisable for our ordinary shares, in the form of ADSs or otherwise, for a period of 90 days after the date this prospectus supplement becomes effective. After the expiration of the 90-day period, as applicable, the ordinary shares or ADSs held by our directors, executive officers or existing shareholders may be sold subject to the restrictions under Rule 144 under the Securities Act or by means of registered public offerings.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these agreements, subject to the provisions of Rule 144 or Rule 701, ADSs are or will be available for sale in the public market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w w:val="90"/>
              </w:rPr>
              <w:t>on the date of this prospectus supplement, 64,139,137 of our ADSs (including 11,940,299 ADSs sold in this offering but excluding up to 6,373,134</w:t>
            </w:r>
          </w:p>
        </w:tc>
      </w:tr>
      <w:tr>
        <w:trPr>
          <w:trHeight w:val="216"/>
        </w:trPr>
        <w:tc>
          <w:tcPr>
            <w:tcW w:w="940" w:type="dxa"/>
            <w:vAlign w:val="bottom"/>
          </w:tcPr>
          <w:p>
            <w:pPr>
              <w:spacing w:after="0"/>
              <w:rPr>
                <w:sz w:val="18"/>
                <w:szCs w:val="18"/>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w w:val="89"/>
              </w:rPr>
              <w:t>of ADSs that may be purchased in this offering by STT GDC, which, if purchased, would be subject to the volume and other restrictions of Rule 144</w:t>
            </w:r>
          </w:p>
        </w:tc>
      </w:tr>
      <w:tr>
        <w:trPr>
          <w:trHeight w:val="222"/>
        </w:trPr>
        <w:tc>
          <w:tcPr>
            <w:tcW w:w="940" w:type="dxa"/>
            <w:vAlign w:val="bottom"/>
          </w:tcPr>
          <w:p>
            <w:pPr>
              <w:spacing w:after="0"/>
              <w:rPr>
                <w:sz w:val="19"/>
                <w:szCs w:val="19"/>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and the lock-up agreement described in the second bullet point) are available for sale in the public market; and</w:t>
            </w:r>
          </w:p>
        </w:tc>
      </w:tr>
      <w:tr>
        <w:trPr>
          <w:trHeight w:val="453"/>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w w:val="95"/>
              </w:rPr>
              <w:t>the remaining ordinary shares and ADSs will become eligible for sale on June 12, 2019 in the public market upon expiration of the lock-up</w:t>
            </w:r>
          </w:p>
        </w:tc>
      </w:tr>
      <w:tr>
        <w:trPr>
          <w:trHeight w:val="216"/>
        </w:trPr>
        <w:tc>
          <w:tcPr>
            <w:tcW w:w="940" w:type="dxa"/>
            <w:vAlign w:val="bottom"/>
          </w:tcPr>
          <w:p>
            <w:pPr>
              <w:spacing w:after="0"/>
              <w:rPr>
                <w:sz w:val="18"/>
                <w:szCs w:val="18"/>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w w:val="89"/>
              </w:rPr>
              <w:t>agreements entered into with the underwriters for this offering and from time to time thereafter subject to vesting and, in some cases, to the volume</w:t>
            </w:r>
          </w:p>
        </w:tc>
      </w:tr>
      <w:tr>
        <w:trPr>
          <w:trHeight w:val="222"/>
        </w:trPr>
        <w:tc>
          <w:tcPr>
            <w:tcW w:w="940" w:type="dxa"/>
            <w:vAlign w:val="bottom"/>
          </w:tcPr>
          <w:p>
            <w:pPr>
              <w:spacing w:after="0"/>
              <w:rPr>
                <w:sz w:val="19"/>
                <w:szCs w:val="19"/>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and other restrictions of Rule 144, as described below.</w:t>
            </w:r>
          </w:p>
        </w:tc>
      </w:tr>
      <w:tr>
        <w:trPr>
          <w:trHeight w:val="432"/>
        </w:trPr>
        <w:tc>
          <w:tcPr>
            <w:tcW w:w="940" w:type="dxa"/>
            <w:vAlign w:val="bottom"/>
          </w:tcPr>
          <w:p>
            <w:pPr>
              <w:spacing w:after="0"/>
              <w:rPr>
                <w:sz w:val="24"/>
                <w:szCs w:val="24"/>
                <w:color w:val="auto"/>
              </w:rPr>
            </w:pPr>
          </w:p>
        </w:tc>
        <w:tc>
          <w:tcPr>
            <w:tcW w:w="10620" w:type="dxa"/>
            <w:vAlign w:val="bottom"/>
          </w:tcPr>
          <w:p>
            <w:pPr>
              <w:ind w:left="4680"/>
              <w:spacing w:after="0"/>
              <w:rPr>
                <w:sz w:val="20"/>
                <w:szCs w:val="20"/>
                <w:color w:val="auto"/>
              </w:rPr>
            </w:pPr>
            <w:r>
              <w:rPr>
                <w:rFonts w:ascii="Arial" w:cs="Arial" w:eastAsia="Arial" w:hAnsi="Arial"/>
                <w:sz w:val="18"/>
                <w:szCs w:val="18"/>
                <w:color w:val="auto"/>
              </w:rPr>
              <w:t>S-41</w:t>
            </w:r>
          </w:p>
        </w:tc>
      </w:tr>
      <w:tr>
        <w:trPr>
          <w:trHeight w:val="228"/>
        </w:trPr>
        <w:tc>
          <w:tcPr>
            <w:tcW w:w="940" w:type="dxa"/>
            <w:vAlign w:val="bottom"/>
            <w:tcBorders>
              <w:bottom w:val="single" w:sz="8" w:color="808080"/>
            </w:tcBorders>
          </w:tcPr>
          <w:p>
            <w:pPr>
              <w:spacing w:after="0"/>
              <w:rPr>
                <w:sz w:val="19"/>
                <w:szCs w:val="19"/>
                <w:color w:val="auto"/>
              </w:rPr>
            </w:pPr>
          </w:p>
        </w:tc>
        <w:tc>
          <w:tcPr>
            <w:tcW w:w="10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All of our ordinary shares issued prior to our initial public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under Rule 144 as currently in effect, a person who has beneficially owned our restricted securities for at least six months is entitled to sell the restricted securities without registration under the Securities Act, subject to certain restrictions. Persons who are our affiliates (including persons beneficially owning 10% or more of our outstanding shares) may sell within any three-month period a number of restricted securities that does not exceed the greater of the following:</w:t>
      </w:r>
    </w:p>
    <w:p>
      <w:pPr>
        <w:sectPr>
          <w:pgSz w:w="11900" w:h="16838" w:orient="portrait"/>
          <w:cols w:equalWidth="0" w:num="1">
            <w:col w:w="11540"/>
          </w:cols>
          <w:pgMar w:left="160" w:top="51" w:right="199" w:bottom="1440" w:gutter="0" w:footer="0" w:header="0"/>
        </w:sectPr>
      </w:pP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1% of the number of our ordinary shares then outstanding, in the form of ADSs or otherwise, which will equal approximately 11,025,920 ordinary shares immediately after this offering; and</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average weekly trading volume of our ADSs on the Nasdaq during the four calendar weeks preceding the date on which notice of the sale is filed with the SEC.</w:t>
      </w:r>
    </w:p>
    <w:p>
      <w:pPr>
        <w:spacing w:after="0" w:line="186"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ind w:right="20" w:firstLine="351"/>
        <w:spacing w:after="0" w:line="287" w:lineRule="auto"/>
        <w:rPr>
          <w:sz w:val="20"/>
          <w:szCs w:val="20"/>
          <w:color w:val="auto"/>
        </w:rPr>
      </w:pPr>
      <w:r>
        <w:rPr>
          <w:rFonts w:ascii="Arial" w:cs="Arial" w:eastAsia="Arial" w:hAnsi="Arial"/>
          <w:sz w:val="16"/>
          <w:szCs w:val="16"/>
          <w:color w:val="auto"/>
        </w:rPr>
        <w:t>Such sales are also subject to manner-of-sale provisions, notice requirements and the availability of current public information about us. The manner-of-sale provisions require the securities to be sold either in "brokers' transactions" as such term is defined under the Securities Act, through transactions directly with a market maker as such term is defined under the Exchange Act or through a riskless principal transaction as described in Rule 144. In addition, the manner-of-sale provisions require the person selling the securities not to solicit or arrange for the solicitation of orders to buy the securities in anticipation of or in connection with such transaction or make any payment in connection with the offer or sale of the securities to any person other than the broker or dealer who executes the order to sell the securities. If the amount of securities to be sold in reliance upon Rule 144 during any period of three months exceeds 5,000 shares or other units or has an aggregate sale price in excess of US$50,000, three copies of a notice on Form 144 should be filed with the SEC. If such securities are admitted to trading on any national securities exchange, one copy of such notice also must be transmitted to the principal exchange on which such securities are admitted. The Form 144 should be signed by the person for whose account the securities are to be sold and should be transmitted for filing concurrently with either the placing with a broker of an order to execute a sale of securities or the execution directly with a market maker of such a sale.</w:t>
      </w:r>
    </w:p>
    <w:p>
      <w:pPr>
        <w:spacing w:after="0" w:line="17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closing of this offering, the holders of 480,386,990 of our Class A ordinary shares or their transferees will be entitled to request that we register their ordinary shares under the Securities Act, following the expiration of the lock-up agreements described above.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Upon the closing of the Concurrent Private Convertible Secured Offering, we will grant customary registration rights to Ping An Overseas Holdings with respect to the convertible preferred shares and the Class A ordinary shares into which they may be converted.</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220"/>
          </w:cols>
          <w:pgMar w:left="160" w:top="51" w:right="5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offering the ADSs described in this prospectus supplement through a number of underwriters. J.P. Morgan Securities LLC, Morgan Stanley &amp; Co. LLC and RBC Capital Markets, LLC, are acting as joint book running managers of the offering and as representatives of the underwriters. We have entered into an underwriting agreement with the representatives, on behalf of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ADSs listed next to its name in the following table:</w:t>
      </w:r>
    </w:p>
    <w:p>
      <w:pPr>
        <w:spacing w:after="0" w:line="164"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33"/>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4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2"/>
              </w:rPr>
              <w:t>ADSs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w w:val="99"/>
              </w:rPr>
              <w:t>4,179,104</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53"/>
              <w:spacing w:after="0"/>
              <w:rPr>
                <w:sz w:val="20"/>
                <w:szCs w:val="20"/>
                <w:color w:val="auto"/>
              </w:rPr>
            </w:pPr>
            <w:r>
              <w:rPr>
                <w:rFonts w:ascii="Arial" w:cs="Arial" w:eastAsia="Arial" w:hAnsi="Arial"/>
                <w:sz w:val="18"/>
                <w:szCs w:val="18"/>
                <w:color w:val="auto"/>
                <w:w w:val="99"/>
              </w:rPr>
              <w:t>3,582,090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w w:val="99"/>
              </w:rPr>
              <w:t>3,582,090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53"/>
              <w:spacing w:after="0"/>
              <w:rPr>
                <w:sz w:val="20"/>
                <w:szCs w:val="20"/>
                <w:color w:val="auto"/>
              </w:rPr>
            </w:pPr>
            <w:r>
              <w:rPr>
                <w:rFonts w:ascii="Arial" w:cs="Arial" w:eastAsia="Arial" w:hAnsi="Arial"/>
                <w:sz w:val="18"/>
                <w:szCs w:val="18"/>
                <w:color w:val="auto"/>
              </w:rPr>
              <w:t>119,403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119,403</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Haitong International Securities Company Limited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53"/>
              <w:spacing w:after="0"/>
              <w:rPr>
                <w:sz w:val="20"/>
                <w:szCs w:val="20"/>
                <w:color w:val="auto"/>
              </w:rPr>
            </w:pPr>
            <w:r>
              <w:rPr>
                <w:rFonts w:ascii="Arial" w:cs="Arial" w:eastAsia="Arial" w:hAnsi="Arial"/>
                <w:sz w:val="18"/>
                <w:szCs w:val="18"/>
                <w:color w:val="auto"/>
              </w:rPr>
              <w:t>119,403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119,403</w:t>
            </w: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SunTrust Robinson Humphrey, Inc.</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53"/>
              <w:spacing w:after="0" w:line="203" w:lineRule="exact"/>
              <w:rPr>
                <w:sz w:val="20"/>
                <w:szCs w:val="20"/>
                <w:color w:val="auto"/>
              </w:rPr>
            </w:pPr>
            <w:r>
              <w:rPr>
                <w:rFonts w:ascii="Arial" w:cs="Arial" w:eastAsia="Arial" w:hAnsi="Arial"/>
                <w:sz w:val="18"/>
                <w:szCs w:val="18"/>
                <w:color w:val="auto"/>
              </w:rPr>
              <w:t>119,403</w:t>
            </w:r>
          </w:p>
        </w:tc>
        <w:tc>
          <w:tcPr>
            <w:tcW w:w="0" w:type="dxa"/>
            <w:vAlign w:val="bottom"/>
          </w:tcPr>
          <w:p>
            <w:pPr>
              <w:spacing w:after="0"/>
              <w:rPr>
                <w:sz w:val="1"/>
                <w:szCs w:val="1"/>
                <w:color w:val="auto"/>
              </w:rPr>
            </w:pPr>
          </w:p>
        </w:tc>
      </w:tr>
      <w:tr>
        <w:trPr>
          <w:trHeight w:val="40"/>
        </w:trPr>
        <w:tc>
          <w:tcPr>
            <w:tcW w:w="5200" w:type="dxa"/>
            <w:vAlign w:val="bottom"/>
            <w:gridSpan w:val="2"/>
          </w:tcPr>
          <w:p>
            <w:pPr>
              <w:spacing w:after="0"/>
              <w:rPr>
                <w:sz w:val="20"/>
                <w:szCs w:val="20"/>
                <w:color w:val="auto"/>
              </w:rPr>
            </w:pPr>
            <w:r>
              <w:rPr>
                <w:rFonts w:ascii="Arial" w:cs="Arial" w:eastAsia="Arial" w:hAnsi="Arial"/>
                <w:sz w:val="3"/>
                <w:szCs w:val="3"/>
                <w:color w:val="auto"/>
              </w:rPr>
              <w:t>â€‹</w:t>
            </w:r>
          </w:p>
        </w:tc>
        <w:tc>
          <w:tcPr>
            <w:tcW w:w="1800" w:type="dxa"/>
            <w:vAlign w:val="bottom"/>
          </w:tcPr>
          <w:p>
            <w:pPr>
              <w:ind w:left="1640"/>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20"/>
                <w:szCs w:val="20"/>
                <w:color w:val="auto"/>
              </w:rPr>
            </w:pPr>
            <w:r>
              <w:rPr>
                <w:rFonts w:ascii="Arial" w:cs="Arial" w:eastAsia="Arial" w:hAnsi="Arial"/>
                <w:sz w:val="3"/>
                <w:szCs w:val="3"/>
                <w:color w:val="auto"/>
              </w:rPr>
              <w:t>â€‹</w:t>
            </w:r>
          </w:p>
        </w:tc>
        <w:tc>
          <w:tcPr>
            <w:tcW w:w="820" w:type="dxa"/>
            <w:vAlign w:val="bottom"/>
          </w:tcPr>
          <w:p>
            <w:pPr>
              <w:ind w:left="800"/>
              <w:spacing w:after="0"/>
              <w:rPr>
                <w:sz w:val="20"/>
                <w:szCs w:val="20"/>
                <w:color w:val="auto"/>
              </w:rPr>
            </w:pPr>
            <w:r>
              <w:rPr>
                <w:rFonts w:ascii="Arial" w:cs="Arial" w:eastAsia="Arial" w:hAnsi="Arial"/>
                <w:sz w:val="1"/>
                <w:szCs w:val="1"/>
                <w:color w:val="auto"/>
                <w:w w:val="4294967292"/>
              </w:rPr>
              <w:t>â€</w:t>
            </w:r>
          </w:p>
        </w:tc>
        <w:tc>
          <w:tcPr>
            <w:tcW w:w="160" w:type="dxa"/>
            <w:vAlign w:val="bottom"/>
          </w:tcPr>
          <w:p>
            <w:pPr>
              <w:jc w:val="right"/>
              <w:ind w:right="113"/>
              <w:spacing w:after="0"/>
              <w:rPr>
                <w:sz w:val="20"/>
                <w:szCs w:val="20"/>
                <w:color w:val="auto"/>
              </w:rPr>
            </w:pPr>
            <w:r>
              <w:rPr>
                <w:rFonts w:ascii="Arial" w:cs="Arial" w:eastAsia="Arial" w:hAnsi="Arial"/>
                <w:sz w:val="2"/>
                <w:szCs w:val="2"/>
                <w:color w:val="auto"/>
                <w:vertAlign w:val="superscript"/>
              </w:rPr>
              <w:t>‹</w:t>
            </w: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90"/>
        </w:trPr>
        <w:tc>
          <w:tcPr>
            <w:tcW w:w="5200" w:type="dxa"/>
            <w:vAlign w:val="bottom"/>
            <w:gridSpan w:val="2"/>
          </w:tcPr>
          <w:p>
            <w:pPr>
              <w:spacing w:after="0" w:line="190" w:lineRule="exact"/>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53"/>
              <w:spacing w:after="0" w:line="190" w:lineRule="exact"/>
              <w:rPr>
                <w:sz w:val="20"/>
                <w:szCs w:val="20"/>
                <w:color w:val="auto"/>
              </w:rPr>
            </w:pPr>
            <w:r>
              <w:rPr>
                <w:rFonts w:ascii="Arial" w:cs="Arial" w:eastAsia="Arial" w:hAnsi="Arial"/>
                <w:sz w:val="18"/>
                <w:szCs w:val="18"/>
                <w:color w:val="auto"/>
                <w:w w:val="88"/>
              </w:rPr>
              <w:t>11,940,299</w:t>
            </w:r>
          </w:p>
        </w:tc>
        <w:tc>
          <w:tcPr>
            <w:tcW w:w="0" w:type="dxa"/>
            <w:vAlign w:val="bottom"/>
          </w:tcPr>
          <w:p>
            <w:pPr>
              <w:spacing w:after="0"/>
              <w:rPr>
                <w:sz w:val="1"/>
                <w:szCs w:val="1"/>
                <w:color w:val="auto"/>
              </w:rPr>
            </w:pPr>
          </w:p>
        </w:tc>
      </w:tr>
      <w:tr>
        <w:trPr>
          <w:trHeight w:val="33"/>
        </w:trPr>
        <w:tc>
          <w:tcPr>
            <w:tcW w:w="520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800" w:type="dxa"/>
            <w:vAlign w:val="bottom"/>
          </w:tcPr>
          <w:p>
            <w:pPr>
              <w:ind w:left="1640"/>
              <w:spacing w:after="0" w:line="34" w:lineRule="exact"/>
              <w:rPr>
                <w:sz w:val="20"/>
                <w:szCs w:val="20"/>
                <w:color w:val="auto"/>
              </w:rPr>
            </w:pPr>
            <w:r>
              <w:rPr>
                <w:rFonts w:ascii="Arial" w:cs="Arial" w:eastAsia="Arial" w:hAnsi="Arial"/>
                <w:sz w:val="3"/>
                <w:szCs w:val="3"/>
                <w:color w:val="auto"/>
              </w:rPr>
              <w:t>â€‹</w:t>
            </w: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980" w:type="dxa"/>
            <w:vAlign w:val="bottom"/>
            <w:gridSpan w:val="2"/>
          </w:tcPr>
          <w:p>
            <w:pPr>
              <w:jc w:val="right"/>
              <w:ind w:right="113"/>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8"/>
        </w:trPr>
        <w:tc>
          <w:tcPr>
            <w:tcW w:w="520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1800" w:type="dxa"/>
            <w:vAlign w:val="bottom"/>
            <w:vMerge w:val="restart"/>
          </w:tcPr>
          <w:p>
            <w:pPr>
              <w:ind w:left="1640"/>
              <w:spacing w:after="0"/>
              <w:rPr>
                <w:sz w:val="20"/>
                <w:szCs w:val="20"/>
                <w:color w:val="auto"/>
              </w:rPr>
            </w:pPr>
            <w:r>
              <w:rPr>
                <w:rFonts w:ascii="Arial" w:cs="Arial" w:eastAsia="Arial" w:hAnsi="Arial"/>
                <w:sz w:val="3"/>
                <w:szCs w:val="3"/>
                <w:color w:val="auto"/>
              </w:rPr>
              <w:t>â€‹</w:t>
            </w:r>
          </w:p>
        </w:tc>
        <w:tc>
          <w:tcPr>
            <w:tcW w:w="100" w:type="dxa"/>
            <w:vAlign w:val="bottom"/>
          </w:tcPr>
          <w:p>
            <w:pPr>
              <w:spacing w:after="0" w:line="28" w:lineRule="exact"/>
              <w:rPr>
                <w:sz w:val="20"/>
                <w:szCs w:val="20"/>
                <w:color w:val="auto"/>
              </w:rPr>
            </w:pPr>
            <w:r>
              <w:rPr>
                <w:rFonts w:ascii="Arial" w:cs="Arial" w:eastAsia="Arial" w:hAnsi="Arial"/>
                <w:sz w:val="3"/>
                <w:szCs w:val="3"/>
                <w:color w:val="auto"/>
              </w:rPr>
              <w:t>â€‹</w:t>
            </w:r>
          </w:p>
        </w:tc>
        <w:tc>
          <w:tcPr>
            <w:tcW w:w="980" w:type="dxa"/>
            <w:vAlign w:val="bottom"/>
            <w:gridSpan w:val="2"/>
            <w:vMerge w:val="restart"/>
          </w:tcPr>
          <w:p>
            <w:pPr>
              <w:jc w:val="right"/>
              <w:ind w:right="113"/>
              <w:spacing w:after="0"/>
              <w:rPr>
                <w:sz w:val="20"/>
                <w:szCs w:val="20"/>
                <w:color w:val="auto"/>
              </w:rPr>
            </w:pPr>
            <w:r>
              <w:rPr>
                <w:rFonts w:ascii="Arial" w:cs="Arial" w:eastAsia="Arial" w:hAnsi="Arial"/>
                <w:sz w:val="3"/>
                <w:szCs w:val="3"/>
                <w:color w:val="auto"/>
              </w:rPr>
              <w:t>â€‹</w:t>
            </w:r>
            <w:r>
              <w:rPr>
                <w:rFonts w:ascii="Arial" w:cs="Arial" w:eastAsia="Arial" w:hAnsi="Arial"/>
                <w:sz w:val="5"/>
                <w:szCs w:val="5"/>
                <w:color w:val="auto"/>
                <w:vertAlign w:val="subscript"/>
              </w:rPr>
              <w:t>â€‹</w:t>
            </w:r>
          </w:p>
        </w:tc>
        <w:tc>
          <w:tcPr>
            <w:tcW w:w="0" w:type="dxa"/>
            <w:vAlign w:val="bottom"/>
          </w:tcPr>
          <w:p>
            <w:pPr>
              <w:spacing w:after="0" w:line="20" w:lineRule="exact"/>
              <w:rPr>
                <w:sz w:val="1"/>
                <w:szCs w:val="1"/>
                <w:color w:val="auto"/>
              </w:rPr>
            </w:pPr>
          </w:p>
        </w:tc>
      </w:tr>
      <w:tr>
        <w:trPr>
          <w:trHeight w:val="49"/>
        </w:trPr>
        <w:tc>
          <w:tcPr>
            <w:tcW w:w="5200" w:type="dxa"/>
            <w:vAlign w:val="bottom"/>
            <w:gridSpan w:val="2"/>
            <w:vMerge w:val="continue"/>
          </w:tcPr>
          <w:p>
            <w:pPr>
              <w:spacing w:after="0"/>
              <w:rPr>
                <w:sz w:val="4"/>
                <w:szCs w:val="4"/>
                <w:color w:val="auto"/>
              </w:rPr>
            </w:pPr>
          </w:p>
        </w:tc>
        <w:tc>
          <w:tcPr>
            <w:tcW w:w="1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-207010</wp:posOffset>
            </wp:positionV>
            <wp:extent cx="513461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34610" cy="171450"/>
                    </a:xfrm>
                    <a:prstGeom prst="rect">
                      <a:avLst/>
                    </a:prstGeom>
                    <a:noFill/>
                  </pic:spPr>
                </pic:pic>
              </a:graphicData>
            </a:graphic>
          </wp:anchor>
        </w:drawing>
      </w:r>
    </w:p>
    <w:p>
      <w:pPr>
        <w:spacing w:after="0" w:line="131" w:lineRule="exact"/>
        <w:rPr>
          <w:sz w:val="20"/>
          <w:szCs w:val="20"/>
          <w:color w:val="auto"/>
        </w:rPr>
      </w:pPr>
    </w:p>
    <w:p>
      <w:pPr>
        <w:ind w:right="520" w:firstLine="348"/>
        <w:spacing w:after="0" w:line="331"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14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STT GDC, one of our major shareholders which is affiliated with, and has the right to appoint, certain of our directors, has indicated an interest in purchasing up to 6,373,134 ADSs in this offering at the public offering price. However, because indications of interest are not binding agreements or commitments to purchase, the underwriters could determine to sell more, less or no shares to STT GDC and STT GDC could determine to purchase more, less or no ADSs in this offering. The underwriters will receive the same underwriting discounts and commissions on any ADSs purchased by STT GDC as they will on any other ADSs sold to the public in this offering.</w:t>
      </w:r>
    </w:p>
    <w:p>
      <w:pPr>
        <w:spacing w:after="0" w:line="20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underwriters propose to offer the ADSs directly to the public at the public offering price set forth on the cover page of this prospectus supplement and to certain dealers at that price less a concession not in excess of US$0.6532 per ADS. Any such dealers may resell ADSs to certain other brokers or dealers at a discount of up to US$0.2178 per ADS from the public offering price. After the initial offering of the ADSs to the public, the offering price and other selling terms may be changed by the underwriters. Sales of ADSs made outside of the United States may be made by affiliates of the underwriters.</w:t>
      </w:r>
    </w:p>
    <w:p>
      <w:pPr>
        <w:spacing w:after="0" w:line="16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address of J.P. Morgan Securities LLC is 383 Madison Avenue, New York, New York 10179, United States of America. The address of Morgan Stanley &amp; Co. LLC is 1585 Broadway New York, New York 10036, United States of America. The address of RBC Capital Markets, LLC is 200 Vesey Street, 8th Floor, New York, New York 10281,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ADSs</w:t>
      </w:r>
    </w:p>
    <w:p>
      <w:pPr>
        <w:spacing w:after="0" w:line="231" w:lineRule="exact"/>
        <w:rPr>
          <w:sz w:val="20"/>
          <w:szCs w:val="20"/>
          <w:color w:val="auto"/>
        </w:rPr>
      </w:pPr>
    </w:p>
    <w:p>
      <w:pPr>
        <w:ind w:right="120" w:firstLine="348"/>
        <w:spacing w:after="0" w:line="331" w:lineRule="auto"/>
        <w:rPr>
          <w:sz w:val="20"/>
          <w:szCs w:val="20"/>
          <w:color w:val="auto"/>
        </w:rPr>
      </w:pPr>
      <w:r>
        <w:rPr>
          <w:rFonts w:ascii="Arial" w:cs="Arial" w:eastAsia="Arial" w:hAnsi="Arial"/>
          <w:sz w:val="16"/>
          <w:szCs w:val="16"/>
          <w:color w:val="auto"/>
        </w:rPr>
        <w:t>The underwriters have an option to buy up to an additional 1,791,044 ADSs from us, to cover sales of ADSs by the underwriters which exceed the number of ADSs specified in the table above. The underwriters have 30 days from the date of this prospectus supplement to exercise this option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US$1.0888 per ADS. The following table shows the per ADS and total underwriting discounts and commissions to be paid to the underwriters assuming both no exercise and full exercise of the underwriters' option to purchase additional ADSs.</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3"/>
              </w:rPr>
              <w:t>Without exercise of</w:t>
            </w:r>
          </w:p>
        </w:tc>
        <w:tc>
          <w:tcPr>
            <w:tcW w:w="520" w:type="dxa"/>
            <w:vAlign w:val="bottom"/>
          </w:tcPr>
          <w:p>
            <w:pPr>
              <w:spacing w:after="0"/>
              <w:rPr>
                <w:sz w:val="13"/>
                <w:szCs w:val="13"/>
                <w:color w:val="auto"/>
              </w:rPr>
            </w:pPr>
          </w:p>
        </w:tc>
        <w:tc>
          <w:tcPr>
            <w:tcW w:w="22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4"/>
              </w:rPr>
              <w:t>With full exercise of</w:t>
            </w:r>
          </w:p>
        </w:tc>
      </w:tr>
      <w:tr>
        <w:trPr>
          <w:trHeight w:val="148"/>
        </w:trPr>
        <w:tc>
          <w:tcPr>
            <w:tcW w:w="2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option to purchase</w:t>
            </w:r>
          </w:p>
        </w:tc>
        <w:tc>
          <w:tcPr>
            <w:tcW w:w="520" w:type="dxa"/>
            <w:vAlign w:val="bottom"/>
          </w:tcPr>
          <w:p>
            <w:pPr>
              <w:spacing w:after="0"/>
              <w:rPr>
                <w:sz w:val="12"/>
                <w:szCs w:val="12"/>
                <w:color w:val="auto"/>
              </w:rPr>
            </w:pPr>
          </w:p>
        </w:tc>
        <w:tc>
          <w:tcPr>
            <w:tcW w:w="22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2"/>
              </w:rPr>
              <w:t>option to purchase</w:t>
            </w:r>
          </w:p>
        </w:tc>
      </w:tr>
      <w:tr>
        <w:trPr>
          <w:trHeight w:val="161"/>
        </w:trPr>
        <w:tc>
          <w:tcPr>
            <w:tcW w:w="2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444"/>
              <w:spacing w:after="0"/>
              <w:rPr>
                <w:sz w:val="20"/>
                <w:szCs w:val="20"/>
                <w:color w:val="auto"/>
              </w:rPr>
            </w:pPr>
            <w:r>
              <w:rPr>
                <w:rFonts w:ascii="Arial" w:cs="Arial" w:eastAsia="Arial" w:hAnsi="Arial"/>
                <w:sz w:val="13"/>
                <w:szCs w:val="13"/>
                <w:b w:val="1"/>
                <w:bCs w:val="1"/>
                <w:color w:val="auto"/>
                <w:w w:val="94"/>
              </w:rPr>
              <w:t>additional ADSs</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right="424"/>
              <w:spacing w:after="0"/>
              <w:rPr>
                <w:sz w:val="20"/>
                <w:szCs w:val="20"/>
                <w:color w:val="auto"/>
              </w:rPr>
            </w:pPr>
            <w:r>
              <w:rPr>
                <w:rFonts w:ascii="Arial" w:cs="Arial" w:eastAsia="Arial" w:hAnsi="Arial"/>
                <w:sz w:val="13"/>
                <w:szCs w:val="13"/>
                <w:b w:val="1"/>
                <w:bCs w:val="1"/>
                <w:color w:val="auto"/>
                <w:w w:val="94"/>
              </w:rPr>
              <w:t>additional ADSs</w:t>
            </w:r>
          </w:p>
        </w:tc>
        <w:tc>
          <w:tcPr>
            <w:tcW w:w="160" w:type="dxa"/>
            <w:vAlign w:val="bottom"/>
          </w:tcPr>
          <w:p>
            <w:pPr>
              <w:spacing w:after="0"/>
              <w:rPr>
                <w:sz w:val="14"/>
                <w:szCs w:val="14"/>
                <w:color w:val="auto"/>
              </w:rPr>
            </w:pPr>
          </w:p>
        </w:tc>
      </w:tr>
      <w:tr>
        <w:trPr>
          <w:trHeight w:val="209"/>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Per ADS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1.0888</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1.0888</w:t>
            </w: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r>
              <w:rPr>
                <w:rFonts w:ascii="Arial" w:cs="Arial" w:eastAsia="Arial" w:hAnsi="Arial"/>
                <w:sz w:val="18"/>
                <w:szCs w:val="18"/>
                <w:color w:val="auto"/>
              </w:rPr>
              <w:t>US$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13,000,597.55</w:t>
            </w:r>
          </w:p>
        </w:tc>
        <w:tc>
          <w:tcPr>
            <w:tcW w:w="520" w:type="dxa"/>
            <w:vAlign w:val="bottom"/>
          </w:tcPr>
          <w:p>
            <w:pPr>
              <w:spacing w:after="0"/>
              <w:rPr>
                <w:sz w:val="20"/>
                <w:szCs w:val="20"/>
                <w:color w:val="auto"/>
              </w:rPr>
            </w:pPr>
            <w:r>
              <w:rPr>
                <w:rFonts w:ascii="Arial" w:cs="Arial" w:eastAsia="Arial" w:hAnsi="Arial"/>
                <w:sz w:val="18"/>
                <w:szCs w:val="18"/>
                <w:color w:val="auto"/>
              </w:rPr>
              <w:t>US$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14,950,686.26</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also agreed to reimburse the underwriters for certain expenses in connection with this offering in an aggregate amount not exceeding US$35,000.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reimbursements are deemed underwriting compensation by the Financial Industry Regulatory Authority, Inc.</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US$1.5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agreed that, with limited exceptions, we will not (i) offer, pledge, issue, sell,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of our ordinary shares or the ADSs, or securities convertible into or exchangeable or exercisable for any of our ordinary shares or the ADSs, or publicly disclose the intention to make any offer, sale, pledge, disposition or filing, or (ii) enter into any swap, hedge or other arrangement that transfers all or a portion of the economic consequences associated with the ownership of any of our ordinary shares, the ADSs or any such other securities, or establish or increase a put equivalent position or liquidate or decrease a call equivalent position in our ordinary shares or the ADSs or any such other securities, or publicly disclose the intention to make any such agreement or transaction, whether any of these transactions are to be settled by the delivery of ordinary shares, ADSs or such other securities, in cash or otherwise, in each case without the prior written consent of J.P. Morgan Securities LLC, Morgan Stanley &amp; Co. LLC and RBC Capital Markets, LLC for a period of 90 days after the date of this prospectus supplement.</w:t>
      </w:r>
    </w:p>
    <w:p>
      <w:pPr>
        <w:spacing w:after="0" w:line="173"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directors, executive officers and certain of our other significant shareholders, namely, STT GDC and EDC Group Limited, shareholders have entered into lock-up agreements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underwriters prior to the commencement of this offering pursuant to which each of these persons or entities, with limited exceptions, for a period of 90 days after the date of this prospectus supplement, may not, without the prior written consent of J.P. Morgan Securities LLC, Morgan Stanley &amp; Co. LLC and RBC Capital Markets, LLC, (1) offer, pledge, sell, contract to sell, sell any option or contract to purchase, purchase any option or contract to sell, grant any option, right or warrant to purchase, or otherwise transfer or dispose of, directly or indirectly, any of our ordinary shares or the ADSs, or any securities convertible into or exercisable or exchangeable for our ordinary shares or the ADSs (including, with limited exceptions, ordinary shares, ADSs or such other securities which may be deemed to be beneficially owned by such directors, executive officers, managers and members in accordance with the rules and regulations of the SEC and securities which may be issued upon exercise of an option or warrant) or (2) enter into any swap, hedge or other agreement that transfers, in whole or in part, any of the economic consequences of ownership of our ordinary shares or the ADSs, or such other securities, or establish or increase a put equivalent position or liquidate or decrease a call equivalent position in our ordinary shares or the ADSs or any such other securities, or publicly disclose the intention to make any such agreement or transaction, whether any such transaction described in clause (1) or (2) above is to be settled by delivery of ordinary shares or ADSs or such other securities, in cash or otherwise, or (3) make any demand for or exercise any right with respect to the registration of any of our ordinary shares or the ADSs, or any security convertible into or exercisable or exchangeable for our ordinary shares or the ADSs.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Specifically, J.P. Morgan Securities LLC will serve as placement agent for the Concurrent Private Convertible Preferred Offering.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ADSs are listed on the Nasdaq Global Market under the symbol "GDS".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w:t>
      </w:r>
    </w:p>
    <w:p>
      <w:pPr>
        <w:spacing w:after="0" w:line="16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ADSs as part of this offering to repay the underwriting discount received by them.</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Market, in the over the counter market or otherwise.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in connection with this offering certain of the underwriters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72"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Canada. </w:t>
      </w:r>
      <w:r>
        <w:rPr>
          <w:rFonts w:ascii="Arial" w:cs="Arial" w:eastAsia="Arial" w:hAnsi="Arial"/>
          <w:sz w:val="16"/>
          <w:szCs w:val="16"/>
          <w:color w:val="auto"/>
        </w:rPr>
        <w:t>The ADSs may be sold only to purchasers purchasing, or deemed to be purchasing, as principal that are accredited investors, as defined in 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European Economic Area. </w:t>
      </w:r>
      <w:r>
        <w:rPr>
          <w:rFonts w:ascii="Arial" w:cs="Arial" w:eastAsia="Arial" w:hAnsi="Arial"/>
          <w:sz w:val="18"/>
          <w:szCs w:val="18"/>
          <w:color w:val="auto"/>
        </w:rPr>
        <w:t>In relation to each Member State of the European Economic Area (each, a "Relevant Member State"), no offer of ADSs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to the public in that Relevant Member State other than:</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provided that no such offer of ADSs shall require the Company or the representatives to publish a prospectus pursuant to Article 3 of the Prospectus Directive or supplement a prospectus pursuant to Article 16 of the Prospectus Directive.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person in a Relevant Member State who initially acquires any ADSs or to whom any offer is made will be deemed to have represented, acknowledged and agreed that it is a "qualified investor" within the meaning of the law in that Relevant Member State implementing Article 2(1)(e) of the Prospectus Directive. In the case of any ADSs being offered to a financial intermediary as that term is used in Article 3(2) of the Prospectus Directive,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Member State to qualified investors as so defined or in circumstances in which the prior consent of the representatives has been obtained to each such proposed offer or resale.</w:t>
      </w:r>
    </w:p>
    <w:p>
      <w:pPr>
        <w:spacing w:after="0" w:line="172"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86" w:lineRule="exact"/>
        <w:rPr>
          <w:sz w:val="20"/>
          <w:szCs w:val="20"/>
          <w:color w:val="auto"/>
        </w:rPr>
      </w:pPr>
    </w:p>
    <w:p>
      <w:pPr>
        <w:ind w:right="400" w:firstLine="348"/>
        <w:spacing w:after="0" w:line="291" w:lineRule="auto"/>
        <w:rPr>
          <w:sz w:val="20"/>
          <w:szCs w:val="20"/>
          <w:color w:val="auto"/>
        </w:rPr>
      </w:pPr>
      <w:r>
        <w:rPr>
          <w:rFonts w:ascii="Arial" w:cs="Arial" w:eastAsia="Arial" w:hAnsi="Arial"/>
          <w:sz w:val="16"/>
          <w:szCs w:val="16"/>
          <w:color w:val="auto"/>
        </w:rPr>
        <w:t>This prospectus has been prepared on the basis that any offer of ADSs in any Relevant Member State will be made pursuant to an exemption under the Prospectus Directive from the requirement to publish a prospectus for offers of ADSs. Accordingly any person making or intending to make an offer in that Relevant Member State of ADSs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ADSs in circumstances in which an obligation arises for the Company or the underwriters to publish a prospectus for such offer.</w:t>
      </w:r>
    </w:p>
    <w:p>
      <w:pPr>
        <w:spacing w:after="0" w:line="174" w:lineRule="exact"/>
        <w:rPr>
          <w:sz w:val="20"/>
          <w:szCs w:val="20"/>
          <w:color w:val="auto"/>
        </w:rPr>
      </w:pPr>
    </w:p>
    <w:p>
      <w:pPr>
        <w:ind w:right="940" w:firstLine="351"/>
        <w:spacing w:after="0" w:line="369" w:lineRule="auto"/>
        <w:rPr>
          <w:sz w:val="20"/>
          <w:szCs w:val="20"/>
          <w:color w:val="auto"/>
        </w:rPr>
      </w:pPr>
      <w:r>
        <w:rPr>
          <w:rFonts w:ascii="Arial" w:cs="Arial" w:eastAsia="Arial" w:hAnsi="Arial"/>
          <w:sz w:val="15"/>
          <w:szCs w:val="15"/>
          <w:color w:val="auto"/>
        </w:rPr>
        <w:t>For the purpose of the above provisions, the expression "an offer to the public" in relation to any ADSs in any Relevant Member State means the communication in any form and by any means of sufficient information on the terms of the offer and the ADSs to be offered so as to enable an investor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decide to purchase or subscribe the ADSs,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Hong Kong. </w:t>
      </w:r>
      <w:r>
        <w:rPr>
          <w:rFonts w:ascii="Arial" w:cs="Arial" w:eastAsia="Arial" w:hAnsi="Arial"/>
          <w:sz w:val="16"/>
          <w:szCs w:val="16"/>
          <w:color w:val="auto"/>
        </w:rPr>
        <w:t>The ADSs have not been offered or sold and will not be offered or sold in Hong Kong, by means of any document, other than (a)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People's Republic of China. </w:t>
      </w:r>
      <w:r>
        <w:rPr>
          <w:rFonts w:ascii="Arial" w:cs="Arial" w:eastAsia="Arial" w:hAnsi="Arial"/>
          <w:sz w:val="18"/>
          <w:szCs w:val="18"/>
          <w:color w:val="auto"/>
        </w:rPr>
        <w:t>This prospectus does not constitute a public offer of the ADSs, whether by sale or subscription, in the PRC. The ADSs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offered or sold directly or indirectly in the PRC to or for the benefit of, legal or natural persons of the PRC.</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document are required by the issuer and its representatives to observe these restrictions.</w:t>
      </w:r>
    </w:p>
    <w:p>
      <w:pPr>
        <w:spacing w:after="0" w:line="194"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Singapore. </w:t>
      </w:r>
      <w:r>
        <w:rPr>
          <w:rFonts w:ascii="Arial" w:cs="Arial" w:eastAsia="Arial" w:hAnsi="Arial"/>
          <w:sz w:val="16"/>
          <w:szCs w:val="16"/>
          <w:color w:val="auto"/>
        </w:rPr>
        <w:t>This prospectus has not been registered as a prospectus with the Monetary Authority of Singapore. Accordingly, this prospectus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239" w:lineRule="exact"/>
        <w:rPr>
          <w:sz w:val="20"/>
          <w:szCs w:val="20"/>
          <w:color w:val="auto"/>
        </w:rPr>
      </w:pPr>
    </w:p>
    <w:p>
      <w:pPr>
        <w:ind w:left="1080" w:right="220" w:hanging="532"/>
        <w:spacing w:after="0" w:line="33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corporation or that trust has acquired the ADSs pursuant to an offer made under Section 275 of the SFA except:</w:t>
      </w:r>
    </w:p>
    <w:p>
      <w:pPr>
        <w:spacing w:after="0" w:line="239" w:lineRule="exact"/>
        <w:rPr>
          <w:sz w:val="20"/>
          <w:szCs w:val="20"/>
          <w:color w:val="auto"/>
        </w:rPr>
      </w:pPr>
    </w:p>
    <w:p>
      <w:pPr>
        <w:ind w:left="1080" w:right="6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b w:val="1"/>
          <w:bCs w:val="1"/>
          <w:i w:val="1"/>
          <w:iCs w:val="1"/>
          <w:color w:val="auto"/>
        </w:rPr>
        <w:t xml:space="preserve">United Kingdom. </w:t>
      </w:r>
      <w:r>
        <w:rPr>
          <w:rFonts w:ascii="Arial" w:cs="Arial" w:eastAsia="Arial" w:hAnsi="Arial"/>
          <w:sz w:val="16"/>
          <w:szCs w:val="16"/>
          <w:color w:val="auto"/>
        </w:rPr>
        <w:t>This document is being distributed only to, and is directed only at, and any offer subsequently made may only be directed at persons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"qualified investors" (as defined in the Prospectus Directive) (i) who have professional experience in matters relating to investments falling within Article 19</w:t>
      </w:r>
    </w:p>
    <w:p>
      <w:pPr>
        <w:spacing w:after="0" w:line="1" w:lineRule="exact"/>
        <w:rPr>
          <w:sz w:val="20"/>
          <w:szCs w:val="20"/>
          <w:color w:val="auto"/>
        </w:rPr>
      </w:pPr>
    </w:p>
    <w:p>
      <w:pPr>
        <w:ind w:right="80" w:firstLine="8"/>
        <w:spacing w:after="0" w:line="255"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98"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ADSs or Class A ordinary shares is based upon laws and relevant interpretations thereof in effect as of the date of this prospectus supplement, all of which are subject to change. This summary does not deal with all possible tax consequences relating to an investment in ADSs or Class A ordinary shares, such as the tax consequences under state, local and other tax laws. To the extent that the discussion relates to matters of Cayman Islands tax law, it represents the opinion of Conyers Dill &amp; Pearman, our Cayman Islands counsel, and to the extent that the discussion relates to matters of PRC tax law, it represents the opinion of King &amp; Wood Mallesons.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or withholding tax applicable to us or to any holder of our ADSs and ordinary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party to any double tax treaties. There are no exchange control regulations or currency restrictions in the Cayman Islands.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Section 6 of the Tax Concessions Law (1999 Revision) of the Cayman Islands, we have obtained an undertaking from the Governor-in-Council:</w:t>
      </w:r>
    </w:p>
    <w:p>
      <w:pPr>
        <w:spacing w:after="0" w:line="262" w:lineRule="exact"/>
        <w:rPr>
          <w:sz w:val="20"/>
          <w:szCs w:val="20"/>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no law which is enacted in the Cayman Islands imposing any tax to be levied on profits or income or gains or appreciation shall apply to us or our operations; and</w:t>
      </w:r>
    </w:p>
    <w:p>
      <w:pPr>
        <w:spacing w:after="0" w:line="212" w:lineRule="exact"/>
        <w:rPr>
          <w:rFonts w:ascii="Arial" w:cs="Arial" w:eastAsia="Arial" w:hAnsi="Arial"/>
          <w:sz w:val="18"/>
          <w:szCs w:val="18"/>
          <w:color w:val="auto"/>
        </w:rPr>
      </w:pPr>
    </w:p>
    <w:p>
      <w:pPr>
        <w:ind w:left="360" w:right="280" w:firstLine="188"/>
        <w:spacing w:after="0" w:line="497" w:lineRule="auto"/>
        <w:tabs>
          <w:tab w:leader="none" w:pos="10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aforesaid tax or any tax in the nature of estate duty or inheritance tax shall not be payable on our shares, debentures or other obligations. The undertaking for us is for a period of twenty years from June 8, 2004.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March 2007, the National People's Congress of China enacted the Enterprise Income Tax Law, which became effective on January 1, 2008 and was amended on February 24, 2017. The Enterprise Income Tax Law provides that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of the Enterprise Income Tax Law further defines the term "de facto management body" as the management body that exercises substantial and overall management and control over the business, personnel, accounts and properties of an enterprise. While we do not currently consider our company or any of our overseas subsidiaries to be a PRC resident enterprise, there is a risk that the PRC tax authorities may deem our company or any of our overseas subsidiaries as a PRC resident enterprise since a substantial majority of the members of our management team as well as the management team of some of our overseas subsidiaries are located in China, in which case we or the overseas subsidiaries, as the case may be, would be subject to the PRC enterprise income tax at the rate of 25% on worldwide income. If the PRC tax authorities determine that our Cayman Islands holding company is a "resident enterprise" for PRC enterprise income tax purposes, a number of unfavorable PRC tax consequences could follow. One example is a 10% withholding tax would be imposed on dividends we pay to our non-PRC enterprise shareholders and with respect to gains derived</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color w:val="auto"/>
        </w:rPr>
        <w:t>by our non-PRC enterprise shareholders from transferring our shares or ADSs. It is unclear whether, if we are considered a PRC resident enterprise, holders of our shares or ADSs would be able to claim the benefit of income tax treaties or agreements entered into between China and other countries or areas.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31"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following summary describes the material United States federal income tax consequences of the purchase, ownership and disposition of our ADSs and ordinary shares as of the date hereof. This summary is only applicable to ADSs and ordinary shares held as capital assets by a United States Holder (as defined below).</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used herein, the term "United States Holder" means a beneficial owner of our ADSs or ordinary shares that is for United States federal income tax purposes:</w:t>
      </w:r>
    </w:p>
    <w:p>
      <w:pPr>
        <w:sectPr>
          <w:pgSz w:w="11900" w:h="16838" w:orient="portrait"/>
          <w:cols w:equalWidth="0" w:num="1">
            <w:col w:w="11560"/>
          </w:cols>
          <w:pgMar w:left="160" w:top="51" w:right="1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an individual citizen or resident of the United States;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trust if it (i) is subject to the primary supervision of a court within the United States and one or more United States persons have the authority to control all substantial decisions of the trust or (ii) has a valid election in effect under applicable United States Treasury regulations to be treated as a United States person.</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100" w:firstLine="348"/>
        <w:spacing w:after="0" w:line="298" w:lineRule="auto"/>
        <w:rPr>
          <w:sz w:val="20"/>
          <w:szCs w:val="20"/>
          <w:color w:val="auto"/>
        </w:rPr>
      </w:pPr>
      <w:r>
        <w:rPr>
          <w:rFonts w:ascii="Arial" w:cs="Arial" w:eastAsia="Arial" w:hAnsi="Arial"/>
          <w:sz w:val="16"/>
          <w:szCs w:val="16"/>
          <w:color w:val="auto"/>
        </w:rPr>
        <w:t>The discussion below is based upon the provisions of the Internal Revenue Code of 1986, as amended, or the Code, and regulations, rulings and judicial decisions thereunder as of the date hereof, and such authorities may be replaced, revoked or modified so as to result in United States federal income tax consequences different from those discussed below. In addition, this summary is based, in part, upon representations made by the depositary to us and assumes that the deposit agreement, and all other related agreements, will be performed in accordance with their terms.</w:t>
      </w:r>
    </w:p>
    <w:p>
      <w:pPr>
        <w:spacing w:after="0" w:line="16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This summary does not represent a detailed description of the United States federal income tax consequences applicable to you if you are subject to special treatment under the United States federal income tax laws, including if you 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dealer in securities or currencies;</w:t>
            </w:r>
          </w:p>
        </w:tc>
      </w:tr>
      <w:tr>
        <w:trPr>
          <w:trHeight w:val="445"/>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financial institution;</w:t>
            </w:r>
          </w:p>
        </w:tc>
      </w:tr>
      <w:tr>
        <w:trPr>
          <w:trHeight w:val="445"/>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regulated investment company;</w:t>
            </w:r>
          </w:p>
        </w:tc>
      </w:tr>
      <w:tr>
        <w:trPr>
          <w:trHeight w:val="459"/>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real estate investment trust;</w:t>
            </w:r>
          </w:p>
        </w:tc>
      </w:tr>
      <w:tr>
        <w:trPr>
          <w:trHeight w:val="445"/>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an insurance company;</w:t>
            </w:r>
          </w:p>
        </w:tc>
      </w:tr>
      <w:tr>
        <w:trPr>
          <w:trHeight w:val="445"/>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tax-exempt organization;</w:t>
            </w:r>
          </w:p>
        </w:tc>
      </w:tr>
      <w:tr>
        <w:trPr>
          <w:trHeight w:val="459"/>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w w:val="95"/>
              </w:rPr>
              <w:t>a person holding our ADSs or ordinary shares as part of a hedging, integrated or conversion transaction, a constructive sale or a straddle;</w:t>
            </w:r>
          </w:p>
        </w:tc>
      </w:tr>
      <w:tr>
        <w:trPr>
          <w:trHeight w:val="445"/>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trader in securities that has elected the mark-to-market method of accounting for your securities;</w:t>
            </w:r>
          </w:p>
        </w:tc>
      </w:tr>
      <w:tr>
        <w:trPr>
          <w:trHeight w:val="445"/>
        </w:trPr>
        <w:tc>
          <w:tcPr>
            <w:tcW w:w="940" w:type="dxa"/>
            <w:vAlign w:val="bottom"/>
          </w:tcPr>
          <w:p>
            <w:pPr>
              <w:ind w:left="540"/>
              <w:spacing w:after="0"/>
              <w:rPr>
                <w:sz w:val="20"/>
                <w:szCs w:val="20"/>
                <w:color w:val="auto"/>
              </w:rPr>
            </w:pPr>
            <w:r>
              <w:rPr>
                <w:rFonts w:ascii="Arial" w:cs="Arial" w:eastAsia="Arial" w:hAnsi="Arial"/>
                <w:sz w:val="18"/>
                <w:szCs w:val="18"/>
                <w:color w:val="auto"/>
              </w:rPr>
              <w:t>â€¢</w:t>
            </w:r>
          </w:p>
        </w:tc>
        <w:tc>
          <w:tcPr>
            <w:tcW w:w="10620" w:type="dxa"/>
            <w:vAlign w:val="bottom"/>
          </w:tcPr>
          <w:p>
            <w:pPr>
              <w:ind w:left="140"/>
              <w:spacing w:after="0"/>
              <w:rPr>
                <w:sz w:val="20"/>
                <w:szCs w:val="20"/>
                <w:color w:val="auto"/>
              </w:rPr>
            </w:pPr>
            <w:r>
              <w:rPr>
                <w:rFonts w:ascii="Arial" w:cs="Arial" w:eastAsia="Arial" w:hAnsi="Arial"/>
                <w:sz w:val="18"/>
                <w:szCs w:val="18"/>
                <w:color w:val="auto"/>
              </w:rPr>
              <w:t>a person liable for alternative minimum tax;</w:t>
            </w:r>
          </w:p>
        </w:tc>
      </w:tr>
      <w:tr>
        <w:trPr>
          <w:trHeight w:val="432"/>
        </w:trPr>
        <w:tc>
          <w:tcPr>
            <w:tcW w:w="940" w:type="dxa"/>
            <w:vAlign w:val="bottom"/>
          </w:tcPr>
          <w:p>
            <w:pPr>
              <w:spacing w:after="0"/>
              <w:rPr>
                <w:sz w:val="24"/>
                <w:szCs w:val="24"/>
                <w:color w:val="auto"/>
              </w:rPr>
            </w:pPr>
          </w:p>
        </w:tc>
        <w:tc>
          <w:tcPr>
            <w:tcW w:w="10620" w:type="dxa"/>
            <w:vAlign w:val="bottom"/>
          </w:tcPr>
          <w:p>
            <w:pPr>
              <w:ind w:left="4680"/>
              <w:spacing w:after="0"/>
              <w:rPr>
                <w:sz w:val="20"/>
                <w:szCs w:val="20"/>
                <w:color w:val="auto"/>
              </w:rPr>
            </w:pPr>
            <w:r>
              <w:rPr>
                <w:rFonts w:ascii="Arial" w:cs="Arial" w:eastAsia="Arial" w:hAnsi="Arial"/>
                <w:sz w:val="18"/>
                <w:szCs w:val="18"/>
                <w:color w:val="auto"/>
              </w:rPr>
              <w:t>S-52</w:t>
            </w:r>
          </w:p>
        </w:tc>
      </w:tr>
      <w:tr>
        <w:trPr>
          <w:trHeight w:val="228"/>
        </w:trPr>
        <w:tc>
          <w:tcPr>
            <w:tcW w:w="940" w:type="dxa"/>
            <w:vAlign w:val="bottom"/>
            <w:tcBorders>
              <w:bottom w:val="single" w:sz="8" w:color="808080"/>
            </w:tcBorders>
          </w:tcPr>
          <w:p>
            <w:pPr>
              <w:spacing w:after="0"/>
              <w:rPr>
                <w:sz w:val="19"/>
                <w:szCs w:val="19"/>
                <w:color w:val="auto"/>
              </w:rPr>
            </w:pPr>
          </w:p>
        </w:tc>
        <w:tc>
          <w:tcPr>
            <w:tcW w:w="10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560"/>
          </w:cols>
          <w:pgMar w:left="160" w:top="51" w:right="1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 person who owns or is deemed to own 10% or more of our stock (by vote or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partnership or other pass-through entity for United States federal income tax purposes;</w:t>
      </w:r>
    </w:p>
    <w:p>
      <w:pPr>
        <w:spacing w:after="0" w:line="2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person required to accelerate the recognition of any item of gross income with respect to our ADSs or ordinary shares as a result of such income being recognized on an applicable financial statement; 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person whose "functional currency" is not the United States dollar.</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ADSs or ordinary shares, the tax treatment of a partner will generally depend upon the status of the partner and the activities of the partnership. If you are a partner of a partnership holding our ADSs or ordinary shares, you should consult your tax advisors.</w:t>
      </w:r>
    </w:p>
    <w:p>
      <w:pPr>
        <w:spacing w:after="0" w:line="18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color w:val="auto"/>
        </w:rPr>
        <w:t>This summary does not contain a detailed description of all the United States federal income tax consequences to you in light of your particular circumstances and does not address the Medicare tax on net investment income or the effects of any state, local or non-United States tax laws. If you are considering the purchase, ownership or disposition of our ADSs or ordinary shares, you should consult your own tax advisors concerning the United States federal income tax consequences to you in light of your particular situation as well as any consequences arising under the laws of any other taxing jurisdiction.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225" w:lineRule="exact"/>
        <w:rPr>
          <w:sz w:val="20"/>
          <w:szCs w:val="20"/>
          <w:color w:val="auto"/>
        </w:rPr>
      </w:pPr>
    </w:p>
    <w:p>
      <w:pPr>
        <w:ind w:right="700" w:firstLine="351"/>
        <w:spacing w:after="0" w:line="331" w:lineRule="auto"/>
        <w:rPr>
          <w:sz w:val="20"/>
          <w:szCs w:val="20"/>
          <w:color w:val="auto"/>
        </w:rPr>
      </w:pPr>
      <w:r>
        <w:rPr>
          <w:rFonts w:ascii="Arial" w:cs="Arial" w:eastAsia="Arial" w:hAnsi="Arial"/>
          <w:sz w:val="16"/>
          <w:szCs w:val="16"/>
          <w:color w:val="auto"/>
        </w:rPr>
        <w:t>If you hold ADSs, for United States federal income tax purposes, you generally will be treated as the owner of the underlying ordinary shares that are represented by such ADSs. Accordingly, deposits or withdrawals of ordinary shares for ADSs will not be subject to United States federal income tax.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Subject to the discussion under "â€”Passive Foreign Investment Company" below, the gross amount of any distributions on the ADSs or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ordinary income on the day actually or constructively received by you, in the case of the ordinary shares, or by the depositary, in the case of ADSs. Such dividends will not be eligible for the dividends received deduction allowed to corporations under the Code.</w:t>
      </w:r>
    </w:p>
    <w:p>
      <w:pPr>
        <w:spacing w:after="0" w:line="169"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With respect to non-corporate United States Holders, certain dividends received from a qualified foreign corporation may be subject to reduced rates of taxation. A foreign corporation is treated as a qualified foreign corporation with respect to dividends received from that corporation on ordinary shares (or ADSs backed by such shares) that are readily tradable on an established securities market in the United States. Our ADSs are listed on the Nasdaq. United States Treasury Department guidance indicates that our ADSs are readily tradable on an established securities market in the United States. Thus, subject to the discussion under "â€”Passive Foreign Investment Company" below, we believe that dividends we pay on our ADSs will meet the conditions required for the reduced tax rate. Since we do not expect that our ordinary shares will be listed on an established securities market, we do not believe that dividends that we pay on our ordinary shares that are not represented by ADSs will meet the conditions required for these reduced tax rates. There also can be no assurance that our ADSs will continue to be readily tradable on an established securities market in later years. Consequently, there can be no assurance that our ADSs will continue to be afforded the reduced tax rates. A qualified foreign corporation also includes a foreign corporation that is eligible for the benefits of certain income tax treaties with the United States. In the event that we are deemed to be a PRC resident enterprise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PRC tax law (see "â€”People's Republic of China Taxation" above), we may be eligible for the benefits of the income tax treaty between the United States and the PRC, or the Treaty. In that case, dividends we pay on our ordinary shares would be eligible for the reduced rates of taxation whether or not the shares are readily tradable on an established securities market in the United States, and whether or not the shares are represented by ADSs. Non-corporate United States Holders that do not meet a minimum holding period requirement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You should consult your own tax advisors regarding the application of these rules given your particular circumstances.</w:t>
      </w:r>
    </w:p>
    <w:p>
      <w:pPr>
        <w:spacing w:after="0" w:line="178"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Non-corporate United States Holders will not be eligible for reduced rates of taxation on any dividends received from us if we are a passive foreign investment company, or PFIC, in the taxable year in which such dividends are paid or in the preceding taxable year (see "â€”Passive Foreign Investment Company" below).</w:t>
      </w:r>
    </w:p>
    <w:p>
      <w:pPr>
        <w:spacing w:after="0" w:line="14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event that we are deemed to be a PRC resident enterprise under the PRC tax law, you may be subject to PRC withholding taxes on dividends paid to you with respect to the ADSs or ordinary shares. See "â€”People's Republic of China Taxation." In that case, subject to certain conditions and limitations (including a minimum holding period requirement), PRC withholding taxes on dividends may be treated as foreign taxes eligible for credit against your United States federal income tax liability. For purposes of calculating the foreign tax credit, dividends paid on the ADSs or ordinary shares will be treated as foreign-source income and will generally constitute passive category income. The rules governing the foreign tax credit are complex. You are urged to consult your tax advisor regarding the availability of the foreign tax credit under your particular circumstances.</w:t>
      </w:r>
    </w:p>
    <w:p>
      <w:pPr>
        <w:spacing w:after="0" w:line="17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To the extent that the amount of any distribution exceeds our current and accumulated earnings and profits, as determined under United States federal income tax principles, the distribution ordinarily would be treated, first, as a tax-free return of capital, causing a reduction in the adjusted basis of the ADSs or ordinary shares (thereby increasing the amount of gain, or decreasing the amount of loss, to be recognized by you on a subsequent disposition of the ADSs or ordinary shares), and, second, the balance in excess of adjusted basis ordinarily would be taxed as capital gain recognized on a sale or exchange. However, we do not expect to determine our earnings and profits in accordance with United States federal income tax principles. Therefore, you should expect that distributions will generally be reported to the Internal Revenue Service, or IRS, and taxed to you as dividends (as discussed above), even if they might ordinarily be treated as a tax-free return of capital or as capital gain.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the past and projected composition of our income and assets, and the valuation of our assets, including goodwill, we do not believe we were a PFIC for our taxable year ended December 31, 2018 and we do not expect to be a PFIC for our taxable year ending December 31, 2019 or in future taxable years, although there can be no assurance in this regard, since the determination of our PFIC status cannot be made until the end of a taxable year and depends significantly on the composition of our assets and income throughout the year.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we will be a PFIC for any taxable year in which:</w:t>
      </w:r>
    </w:p>
    <w:p>
      <w:pPr>
        <w:sectPr>
          <w:pgSz w:w="11900" w:h="16838" w:orient="portrait"/>
          <w:cols w:equalWidth="0" w:num="1">
            <w:col w:w="11540"/>
          </w:cols>
          <w:pgMar w:left="160" w:top="51" w:right="19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 least 75% of our gross income is passive income, or</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least 50% of the value (based on a quarterly average) of our assets is attributable to assets that produce or are held for the production of passive income.</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60"/>
          </w:cols>
          <w:pgMar w:left="160" w:top="51" w:right="1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If we own at least 25% (by value) of the stock of another corporation, we will be treated, for purposes of determining whether we are a PFIC, as owning our proportionate share of the other corporation's assets and receiving our proportionate share of the other corporation's income. However, it is not entirely clear how the contractual arrangements between us and our consolidated VIEs will be treated for purposes of the PFIC rules. For United States federal income tax purposes, we consider ourselves to own the stock of our consolidated VIEs. If it is determined, contrary to our view, that we do not own the stock of our consolidated VIEs for United States federal income tax purposes (for instance, because the relevant PRC authorities do not respect these arrangements), that would alter the composition of our income and assets for purposes of testing our PFIC status, and may cause us to be treated as a PFIC.</w:t>
      </w:r>
    </w:p>
    <w:p>
      <w:pPr>
        <w:spacing w:after="0" w:line="16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determination of whether we are a PFIC is made annually. Accordingly, it is possible that we may become a PFIC in the current or any future taxable year due to changes in our asset or income composition. The calculation of the value of our assets will be based, in part, on the quarterly market value of our ADSs, which is subject to change. The composition of our income and our assets will also be affected by how, and how quickly, we spend the cash raised in our initial public offering. If the cash is not deployed for active purposes, our risk of becoming a PFIC may increase.</w:t>
      </w:r>
    </w:p>
    <w:p>
      <w:pPr>
        <w:spacing w:after="0" w:line="16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we are a PFIC for any taxable year during which you hold our ADSs or ordinary shares and you do not make a timely mark-to-market election, as described below, you will be subject to specialâ€”and generally very unfavorableâ€”tax rules with respect to any "excess distribution" received and any gain realized from a sale or other disposition, including a pledge, of ADSs or ordinary shares. Distributions received in a taxable year that are greater than 125% of the average annual distributions received during the shorter of the three preceding taxable years or your holding period for the ADSs or ordinary shares will be treated as excess distributions. Under these special tax rules:</w:t>
      </w:r>
    </w:p>
    <w:p>
      <w:pPr>
        <w:sectPr>
          <w:pgSz w:w="11900" w:h="16838" w:orient="portrait"/>
          <w:cols w:equalWidth="0" w:num="1">
            <w:col w:w="11540"/>
          </w:cols>
          <w:pgMar w:left="160" w:top="51" w:right="199" w:bottom="1440" w:gutter="0" w:footer="0" w:header="0"/>
        </w:sect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excess distribution or gain will be allocated ratably over your holding period for the ADSs or ordinary shares,</w:t>
      </w:r>
    </w:p>
    <w:p>
      <w:pPr>
        <w:spacing w:after="0" w:line="25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amount allocated to the current taxable year, and any taxable year prior to the first taxable year in which we were a PFIC, will be treated as ordinary income, and</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amount allocated to each other year will be subject to tax at the highest tax rate in effect for that year and the interest charge generally applicable to underpayments of tax will be imposed on the resulting tax attributable to each such year.</w:t>
      </w:r>
    </w:p>
    <w:p>
      <w:pPr>
        <w:spacing w:after="0" w:line="186"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ind w:right="20" w:firstLine="341"/>
        <w:spacing w:after="0" w:line="254" w:lineRule="auto"/>
        <w:rPr>
          <w:sz w:val="20"/>
          <w:szCs w:val="20"/>
          <w:color w:val="auto"/>
        </w:rPr>
      </w:pPr>
      <w:r>
        <w:rPr>
          <w:rFonts w:ascii="Arial" w:cs="Arial" w:eastAsia="Arial" w:hAnsi="Arial"/>
          <w:sz w:val="18"/>
          <w:szCs w:val="18"/>
          <w:color w:val="auto"/>
        </w:rPr>
        <w:t>Although the determination of whether we are a PFIC is made annually, if we are a PFIC for any taxable year in which you hold our ADSs or ordinary shares, you will generally be subject to the special tax rules described above for that year and for each subsequent year in which you hold the ADSs or ordinary shares (even if we do not qualify as a PFIC in any subsequent years). However, if we cease to be a PFIC, you can avoid the continuing impact of the PFIC rules by making a special election to recognize gain as if your ADSs or ordinary shares had been sold on the last day of the last taxable year during which we were a PFIC. You are urged to consult your own tax advisor about this election.</w:t>
      </w:r>
    </w:p>
    <w:p>
      <w:pPr>
        <w:spacing w:after="0" w:line="20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certain circumstances, in lieu of being subject to the special tax rules discussed above, you may make a mark-to-market election with respect to your ADSs or ordinary shares provided such ADSs or ordinary shares are treated as "marketable stock." The ADSs or ordinary shares generally will be treated as marketable stock if the ADSs or ordinary shares are "regularly traded" on a "qualified exchange or other market" (within the meaning of the applicable Treasury regulations). Under current law, the mark-to-market election may be available to holders of ADSs as the ADSs are listed on the Nasdaq, which constitutes a qualified exchange, although there can be no assurance that the ADSs will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 "regularly traded" for purposes of the mark-to-market election. It should also be noted that only the ADSs and not the ordinary shares are listed on the Nasdaq.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Consequently, if you are a holder of ordinary shares that are not represented by ADSs, you generally will not be eligible to make a mark-to-market election.</w:t>
      </w:r>
    </w:p>
    <w:p>
      <w:pPr>
        <w:spacing w:after="0" w:line="24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 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9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Your adjusted basis in the ADSs will be increased by the amount of any income inclusion and decreased by the amount of any deductions under the mark-to-market rules. If you make a mark-to-market election it will be effective for the taxable year for which the election is made and all subsequent taxable years unless the ADSs are no longer regularly traded on a qualified exchange or other market, or the IRS consents to the revocation of the election. You are urged to consult your tax advisor about the availability of the mark-to-market election, and whether making the election would be advisable in your particular circumstances.</w:t>
      </w:r>
    </w:p>
    <w:p>
      <w:pPr>
        <w:spacing w:after="0" w:line="166"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different election, known as the "qualified electing fund" or "QEF" election is generally available to holders of PFIC stock, but requires that the corporation provide the holders with a "PFIC Annual Information Statement" containing certain information necessary for the election, including the holder's pro rata share of the corporation's earnings and profits and net capital gains for each taxable year, computed according to United States federal income tax principles. We do not intend, however, to determine our earnings and profits or net capital gain under United States federal income tax principles, nor do we intend to provide United States Holders with a PFIC Annual Information Statement. Therefore, you should not expect to be eligible to make this election.</w:t>
      </w:r>
    </w:p>
    <w:p>
      <w:pPr>
        <w:spacing w:after="0" w:line="169"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we are a PFIC for any taxable year during which you hold our ADSs or ordinary shares and any of our non-United States subsidiaries is also a PFIC, you will be treated as owning a proportionate amount (by value) of the shares of the lower-tier PFIC for purposes of the application of these rules. You are urged to consult your tax advisors about the application of the PFIC rules to any of our subsidiaries.</w:t>
      </w:r>
    </w:p>
    <w:p>
      <w:pPr>
        <w:spacing w:after="0" w:line="194" w:lineRule="exact"/>
        <w:rPr>
          <w:sz w:val="20"/>
          <w:szCs w:val="20"/>
          <w:color w:val="auto"/>
        </w:rPr>
      </w:pPr>
    </w:p>
    <w:p>
      <w:pPr>
        <w:jc w:val="both"/>
        <w:ind w:right="120" w:firstLine="344"/>
        <w:spacing w:after="0" w:line="259" w:lineRule="auto"/>
        <w:rPr>
          <w:sz w:val="20"/>
          <w:szCs w:val="20"/>
          <w:color w:val="auto"/>
        </w:rPr>
      </w:pPr>
      <w:r>
        <w:rPr>
          <w:rFonts w:ascii="Arial" w:cs="Arial" w:eastAsia="Arial" w:hAnsi="Arial"/>
          <w:sz w:val="18"/>
          <w:szCs w:val="18"/>
          <w:color w:val="auto"/>
        </w:rPr>
        <w:t>You will generally be required to file IRS Form 8621 if you hold our ADSs or ordinary shares in any year in which we are classified as a PFIC. You are urged to consult your tax advisors concerning the United States federal income tax consequences of holding ADSs or ordinary shares if we are considered a PFIC in any taxable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United States federal income tax purposes, you will recognize taxable gain or loss on any sale or exchange of ADSs or ordinary shares in an amount equal to the difference between the amount realized for the ADSs or ordinary shares and your adjusted basis in the ADSs or ordinary shares. Subject to the discussion under "â€”Passive Foreign Investment Company" above, such gain or loss will generally be capital gain or loss and will generally be long-term capital gain or loss if you have held the ADSs or ordinary shares for more than one year. Long-term capital gains of non-corporate United States Holders (including individuals) are eligible for reduced rates of taxation. The deductibility of capital losses is subject to limitations. Any gain or loss recognized by you will generally be treated as United States source gain or loss. However, if we are treated as a PRC resident enterprise for PRC tax</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purposes and PRC tax is imposed on any gain, and if you are eligible for the benefits of the Treaty, you may elect to treat such gain as PRC source gain. If you are not eligible for the benefits of the Treaty or you fail to make the election to treat any gain as PRC source, then you may not be able to use the foreign tax credit arising from any PRC tax imposed on the disposition of our ADSs or ordinary shares unless such credit can be applied (subject to applicable limitations) against United States federal income tax due on other income derived from foreign sources in the same income category (generally, the passive category). You are urged to consult your tax advisors regarding the tax consequences if any PRC tax is imposed on gain on a disposition of our ordinary shares or ADSs, including the availability of the foreign tax credit and the election to treat any gain as PRC source, under your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general, information reporting will apply to dividends in respect of our ADSs or ordinary shares and the proceeds from the sale, exchange or other disposition of our ADSs or ordinary shares that are paid to you within the United States (and in certain cases, outside the United States), unless you are an exempt recipient such as a corporation. A backup withholding tax may apply to such payments if you fail to provide a taxpayer identification number or certification of other exempt status or fail to report in full dividend and interest income.</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will be allowed as a refund or a credit against your United States federal income tax liability provided the required information is furnished to the IRS in a timely manner.</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Certain United States Holders are required to report information relating to our ADSs or ordinary shares by attaching a complete Form 8938, Statement of Specified Foreign Financial Assets, with their tax returns for each year in which they hold ADSs or ordinary shares. Significant penalties can apply if you are required to file this form and you fail to do so. You are urged to consult your own tax advisor regarding this and other information reporting requirements relating to your ownership of the ADSs or ordinary shares.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being represented by Simpson Thacher &amp; Bartlett LLP with respect to certain legal matters of United States federal securities and New York state law. Certain legal matters of United States federal securities and New York state law in connection with this offering will be passed upon for the underwriters by Latham &amp; Watkins LLP. The validity of the Class A ordinary shares represented by the ADSs offered in this offering and legal matters as to Cayman Islands law will be passed upon for us by Conyers Dill &amp; Pearman. Certain legal matters as to PRC law will be passed upon for us by King &amp; Wood Mallesons and for the underwriters by Fangda Partners. Simpson Thacher &amp; Bartlett LLP and Conyers Dill &amp; Pearman may rely upon King &amp; Wood Mallesons with respect to matters governed by PRC law. Latham &amp; Watkins LLP may rely upon Fangda Partners with respect to matters governed by PRC law.</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consolidated financial statements of GDS Holdings Limited as of December 31, 2017 and 2018, and for each of the years in the three-year period ended December 31, 2018, and management's assessment of the effectiveness of internal control over financial reporting as of December 31, 2018 have been incorporated by reference herein and in the registration statement in reliance upon the report of KPMG Huazhen LLP, independent registered public accounting firm, incorporated by reference herein, and upon the authority of said firm as experts in accounting and auditing.</w:t>
      </w:r>
    </w:p>
    <w:p>
      <w:pPr>
        <w:spacing w:after="0" w:line="166" w:lineRule="exact"/>
        <w:rPr>
          <w:sz w:val="20"/>
          <w:szCs w:val="20"/>
          <w:color w:val="auto"/>
        </w:rPr>
      </w:pPr>
    </w:p>
    <w:p>
      <w:pPr>
        <w:ind w:right="320" w:firstLine="348"/>
        <w:spacing w:after="0" w:line="331" w:lineRule="auto"/>
        <w:rPr>
          <w:sz w:val="20"/>
          <w:szCs w:val="20"/>
          <w:color w:val="auto"/>
        </w:rPr>
      </w:pPr>
      <w:r>
        <w:rPr>
          <w:rFonts w:ascii="Arial" w:cs="Arial" w:eastAsia="Arial" w:hAnsi="Arial"/>
          <w:sz w:val="16"/>
          <w:szCs w:val="16"/>
          <w:color w:val="auto"/>
        </w:rPr>
        <w:t xml:space="preserve">The audit report covering the December 31, 2018 consolidated financial statements refers to a change to the Company's method of accounting for revenue recognition in 2018 due to the adoption of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amended.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office of KPMG Huazhen LLP is located at 25th Floor, Tower II, Plaza 66, 1266 Nanjing West Road, Shanghai, People's Republic of China.</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9" w:lineRule="exact"/>
        <w:rPr>
          <w:sz w:val="20"/>
          <w:szCs w:val="20"/>
          <w:color w:val="auto"/>
        </w:rPr>
      </w:pPr>
    </w:p>
    <w:p>
      <w:pPr>
        <w:ind w:right="60" w:firstLine="348"/>
        <w:spacing w:after="0" w:line="317" w:lineRule="auto"/>
        <w:rPr>
          <w:sz w:val="20"/>
          <w:szCs w:val="20"/>
          <w:color w:val="auto"/>
        </w:rPr>
      </w:pPr>
      <w:r>
        <w:rPr>
          <w:rFonts w:ascii="Arial" w:cs="Arial" w:eastAsia="Arial" w:hAnsi="Arial"/>
          <w:sz w:val="15"/>
          <w:szCs w:val="15"/>
          <w:color w:val="auto"/>
        </w:rPr>
        <w:t>This prospectus supplement is part of a registration statement we filed with the SEC, using a shelf registration process under the Securities Act, relating to the securities to be offered.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5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178" w:lineRule="exact"/>
        <w:rPr>
          <w:sz w:val="20"/>
          <w:szCs w:val="20"/>
          <w:color w:val="auto"/>
        </w:rPr>
      </w:pPr>
    </w:p>
    <w:p>
      <w:pPr>
        <w:jc w:val="both"/>
        <w:ind w:right="80" w:firstLine="351"/>
        <w:spacing w:after="0" w:line="303" w:lineRule="auto"/>
        <w:rPr>
          <w:sz w:val="20"/>
          <w:szCs w:val="20"/>
          <w:color w:val="auto"/>
        </w:rPr>
      </w:pPr>
      <w:r>
        <w:rPr>
          <w:rFonts w:ascii="Arial" w:cs="Arial" w:eastAsia="Arial" w:hAnsi="Arial"/>
          <w:sz w:val="15"/>
          <w:szCs w:val="15"/>
          <w:color w:val="auto"/>
        </w:rPr>
        <w:t>Our principal executive offices are located at 2/F Tower 2, Youyou Century Place, 428 South Yanggao Road, Pudong, Shanghai 200127, People's Republic of China. Our telephone number at this address is +86-21-2033-0303. Our registered office in the Cayman Islands is located at the offices of Conyers Trust Company (Cayman) Limited, Cricket Square, Hutchins Drive, P.O. Box 2681, Grand Cayman, KY1-1111, Cayman Islands. Our telephone number at this address is +1</w:t>
      </w:r>
    </w:p>
    <w:p>
      <w:pPr>
        <w:spacing w:after="0" w:line="1" w:lineRule="exact"/>
        <w:rPr>
          <w:sz w:val="20"/>
          <w:szCs w:val="20"/>
          <w:color w:val="auto"/>
        </w:rPr>
      </w:pPr>
    </w:p>
    <w:p>
      <w:pPr>
        <w:ind w:right="80" w:firstLine="8"/>
        <w:spacing w:after="0" w:line="323"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949 1040. We also have four regional offices in Suzhou, Beijing, Chengdu and Shenzhen. Investors should submit any inquiries to the address and telephone number of our principal executive offices set forth above.</w:t>
      </w:r>
    </w:p>
    <w:p>
      <w:pPr>
        <w:spacing w:after="0" w:line="14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Our main website is </w:t>
      </w:r>
      <w:r>
        <w:rPr>
          <w:rFonts w:ascii="Arial" w:cs="Arial" w:eastAsia="Arial" w:hAnsi="Arial"/>
          <w:sz w:val="18"/>
          <w:szCs w:val="18"/>
          <w:i w:val="1"/>
          <w:iCs w:val="1"/>
          <w:color w:val="auto"/>
        </w:rPr>
        <w:t>www.gds-services.com</w:t>
      </w:r>
      <w:r>
        <w:rPr>
          <w:rFonts w:ascii="Arial" w:cs="Arial" w:eastAsia="Arial" w:hAnsi="Arial"/>
          <w:sz w:val="18"/>
          <w:szCs w:val="18"/>
          <w:color w:val="auto"/>
        </w:rPr>
        <w:t>, and the information contained on this website is not a part of this prospectus. Our agent for service of process in the United States is Law Debenture Corporate Services Inc. located at 801 2nd Avenue, Suite 403, New York, NY 10017.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 this prospectus supplement, you should rely on the information contained in the document that was filed later.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incorporate by reference the documents listed below:</w:t>
      </w:r>
    </w:p>
    <w:p>
      <w:pPr>
        <w:sectPr>
          <w:pgSz w:w="11900" w:h="16838" w:orient="portrait"/>
          <w:cols w:equalWidth="0" w:num="1">
            <w:col w:w="11520"/>
          </w:cols>
          <w:pgMar w:left="160" w:top="51" w:right="21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20-F for the fiscal year ended December 31, 2018, originally filed with the SEC on March 13,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exhibits 99.2, 99.3 and 99.4 to our current report on Form 6-K furnished to the SEC on March 13, 2019;</w:t>
      </w:r>
    </w:p>
    <w:p>
      <w:pPr>
        <w:spacing w:after="0" w:line="239" w:lineRule="exact"/>
        <w:rPr>
          <w:sz w:val="20"/>
          <w:szCs w:val="20"/>
          <w:color w:val="auto"/>
        </w:rPr>
      </w:pPr>
    </w:p>
    <w:p>
      <w:pPr>
        <w:ind w:right="620"/>
        <w:spacing w:after="0" w:line="331" w:lineRule="auto"/>
        <w:rPr>
          <w:sz w:val="20"/>
          <w:szCs w:val="20"/>
          <w:color w:val="auto"/>
        </w:rPr>
      </w:pPr>
      <w:r>
        <w:rPr>
          <w:rFonts w:ascii="Arial" w:cs="Arial" w:eastAsia="Arial" w:hAnsi="Arial"/>
          <w:sz w:val="16"/>
          <w:szCs w:val="16"/>
          <w:color w:val="auto"/>
        </w:rPr>
        <w:t>the description of the securities contained in our registration statement on Form 8-A filed on October 20, 2016 pursuant to Section 12 of the Exchange Act, together with all amendments and reports filed for the purpose of updating that description;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future annual reports on Form 20-F filed with the SEC after the date of this prospectus supplement and prior to the termination of the offering of the securities offered by this prospectus; and</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 supplement.</w:t>
      </w:r>
    </w:p>
    <w:p>
      <w:pPr>
        <w:spacing w:after="0" w:line="186"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jc w:val="both"/>
        <w:ind w:right="300" w:firstLine="351"/>
        <w:spacing w:after="0" w:line="259" w:lineRule="auto"/>
        <w:rPr>
          <w:sz w:val="20"/>
          <w:szCs w:val="20"/>
          <w:color w:val="auto"/>
        </w:rPr>
      </w:pPr>
      <w:r>
        <w:rPr>
          <w:rFonts w:ascii="Arial" w:cs="Arial" w:eastAsia="Arial" w:hAnsi="Arial"/>
          <w:sz w:val="18"/>
          <w:szCs w:val="18"/>
          <w:color w:val="auto"/>
        </w:rPr>
        <w:t>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GDS Holdings Limited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2/F, Tower 2, Youyou Century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428 South Yanggao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Pudong, Shanghai 200127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+86-21-2033-0303</w:t>
      </w:r>
    </w:p>
    <w:p>
      <w:pPr>
        <w:spacing w:after="0" w:line="219" w:lineRule="exact"/>
        <w:rPr>
          <w:sz w:val="20"/>
          <w:szCs w:val="20"/>
          <w:color w:val="auto"/>
        </w:rPr>
      </w:pPr>
    </w:p>
    <w:p>
      <w:pPr>
        <w:ind w:right="280" w:firstLine="344"/>
        <w:spacing w:after="0" w:line="259"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151765</wp:posOffset>
            </wp:positionV>
            <wp:extent cx="2648585" cy="900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858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GDS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160020</wp:posOffset>
            </wp:positionV>
            <wp:extent cx="18516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may from time to time in one or more offerings offer and sell our Class A ordinary shares, including Class A ordinary shares represented by American depositary shares, or ADSs.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from time to time, the selling shareholders to be named in a prospectus supplement may offer and sell our Class A ordinary shares or ADSs held by them. The selling shareholders may sell shares of our Class A ordinary shares or ADSs through public or private transactions at prevailing market prices or at privately negotiated prices. We will not receive any proceeds from the sale of shares of our Class A ordinary shares by the selling shareholders.</w:t>
      </w:r>
    </w:p>
    <w:p>
      <w:pPr>
        <w:spacing w:after="0" w:line="160"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6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granted to them will be described in the applicable prospectus supplement. For a more complete description of the plan of distribution of these securities, see the section entitled "Plan of Distribution" beginning on page 35 of this prospectus.</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ADSs are listed on the Nasdaq Global Market under the symbol "GDS." On January 22, 2018, the last reported sale price of the ADSs on the Nasdaq Global Market was US$26.97 per ADS.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outstanding share capital consists of Class A ordinary shares and Class B ordinary shares. The rights of the holders of our Class A ordinary shares and our Class B ordinary shares are virtually identical other than with respect to voting, conversion and director nomination rights. Each of our Class A and Class B ordinary shares is entitled to one vote per share except that each Class B ordinary share is entitled to 20 votes with respect to (i) the election of a simple majority of our directors and (ii) any change to our articles of association that would adversely affect the rights of the holders of Class B ordinary shares at general meetings of our shareholders. Each Class B ordinary share is convertible at any time into one Class A ordinary share. For so long as there are Class B ordinary shares outstanding, the holders of Class B ordinary shares will also have the right to nominate one less than a simple majority, or five, of the directors to our board of directors, which directors shall be subject to the voting arrangements described above. See "Description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114300</wp:posOffset>
            </wp:positionV>
            <wp:extent cx="18516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20" w:firstLine="351"/>
        <w:spacing w:after="0" w:line="260" w:lineRule="auto"/>
        <w:rPr>
          <w:sz w:val="20"/>
          <w:szCs w:val="20"/>
          <w:color w:val="auto"/>
        </w:rPr>
      </w:pPr>
      <w:r>
        <w:rPr>
          <w:rFonts w:ascii="Arial" w:cs="Arial" w:eastAsia="Arial" w:hAnsi="Arial"/>
          <w:sz w:val="21"/>
          <w:szCs w:val="21"/>
          <w:b w:val="1"/>
          <w:bCs w:val="1"/>
          <w:color w:val="auto"/>
        </w:rPr>
        <w:t>Investing in these securities involves a high degree of risk. You should carefully consider the risks and uncertainties discussed under the heading "Risk Factors" included in the applicable prospectus supplement or under similar headings in other documents which are incorporated by reference in this prospectus.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147955</wp:posOffset>
            </wp:positionV>
            <wp:extent cx="18516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90805</wp:posOffset>
            </wp:positionV>
            <wp:extent cx="18516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date of this prospectus is January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00" w:type="dxa"/>
            <w:vAlign w:val="bottom"/>
            <w:gridSpan w:val="4"/>
          </w:tcPr>
          <w:p>
            <w:pPr>
              <w:jc w:val="center"/>
              <w:ind w:right="278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8640" w:type="dxa"/>
            <w:vAlign w:val="bottom"/>
            <w:gridSpan w:val="14"/>
            <w:vMerge w:val="restart"/>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ABOUT THIS PROSPECTUS</w:t>
              </w:r>
            </w:hyperlink>
          </w:p>
        </w:tc>
        <w:tc>
          <w:tcPr>
            <w:tcW w:w="176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640" w:type="dxa"/>
            <w:vAlign w:val="bottom"/>
            <w:gridSpan w:val="14"/>
            <w:vMerge w:val="continue"/>
          </w:tcPr>
          <w:p>
            <w:pPr>
              <w:spacing w:after="0"/>
              <w:rPr>
                <w:sz w:val="14"/>
                <w:szCs w:val="14"/>
                <w:color w:val="auto"/>
              </w:rPr>
            </w:pPr>
          </w:p>
        </w:tc>
        <w:tc>
          <w:tcPr>
            <w:tcW w:w="440" w:type="dxa"/>
            <w:vAlign w:val="bottom"/>
            <w:tcBorders>
              <w:top w:val="single" w:sz="8" w:color="auto"/>
            </w:tcBorders>
            <w:gridSpan w:val="3"/>
          </w:tcPr>
          <w:p>
            <w:pPr>
              <w:jc w:val="right"/>
              <w:spacing w:after="0" w:line="169" w:lineRule="exact"/>
              <w:rPr>
                <w:rFonts w:ascii="Arial" w:cs="Arial" w:eastAsia="Arial" w:hAnsi="Arial"/>
                <w:sz w:val="18"/>
                <w:szCs w:val="18"/>
                <w:color w:val="0000EE"/>
              </w:rPr>
            </w:pPr>
            <w:hyperlink w:anchor="page67">
              <w:r>
                <w:rPr>
                  <w:rFonts w:ascii="Arial" w:cs="Arial" w:eastAsia="Arial" w:hAnsi="Arial"/>
                  <w:sz w:val="18"/>
                  <w:szCs w:val="18"/>
                  <w:color w:val="0000EE"/>
                </w:rPr>
                <w:t>1</w:t>
              </w:r>
            </w:hyperlink>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FORWARD-LOOKING STATEMENTS</w:t>
              </w:r>
            </w:hyperlink>
          </w:p>
        </w:tc>
        <w:tc>
          <w:tcPr>
            <w:tcW w:w="44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3</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80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OUR COMPANY</w:t>
              </w:r>
            </w:hyperlink>
          </w:p>
        </w:tc>
        <w:tc>
          <w:tcPr>
            <w:tcW w:w="584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4</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CORPORATE INFORMATION</w:t>
              </w:r>
            </w:hyperlink>
          </w:p>
        </w:tc>
        <w:tc>
          <w:tcPr>
            <w:tcW w:w="44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5</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28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RISK FACTORS</w:t>
              </w:r>
            </w:hyperlink>
          </w:p>
        </w:tc>
        <w:tc>
          <w:tcPr>
            <w:tcW w:w="636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44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DESCRIPTION OF SHARE CAPITAL</w:t>
              </w:r>
            </w:hyperlink>
          </w:p>
        </w:tc>
        <w:tc>
          <w:tcPr>
            <w:tcW w:w="4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8</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DESCRIPTION OF AMERICAN DEPOSITARY SHARES</w:t>
              </w:r>
            </w:hyperlink>
          </w:p>
        </w:tc>
        <w:tc>
          <w:tcPr>
            <w:tcW w:w="440" w:type="dxa"/>
            <w:vAlign w:val="bottom"/>
            <w:gridSpan w:val="3"/>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18</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ENFORCEABILITY OF CIVIL LIABILITIES</w:t>
              </w:r>
            </w:hyperlink>
          </w:p>
        </w:tc>
        <w:tc>
          <w:tcPr>
            <w:tcW w:w="880" w:type="dxa"/>
            <w:vAlign w:val="bottom"/>
            <w:tcBorders>
              <w:top w:val="single" w:sz="8" w:color="0000EE"/>
            </w:tcBorders>
            <w:gridSpan w:val="2"/>
          </w:tcPr>
          <w:p>
            <w:pPr>
              <w:spacing w:after="0"/>
              <w:rPr>
                <w:sz w:val="24"/>
                <w:szCs w:val="24"/>
                <w:color w:val="auto"/>
              </w:rPr>
            </w:pPr>
          </w:p>
        </w:tc>
        <w:tc>
          <w:tcPr>
            <w:tcW w:w="44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31</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TAXATION</w:t>
              </w:r>
            </w:hyperlink>
          </w:p>
        </w:tc>
        <w:tc>
          <w:tcPr>
            <w:tcW w:w="440" w:type="dxa"/>
            <w:vAlign w:val="bottom"/>
            <w:gridSpan w:val="3"/>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33</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SELLING SHAREHOLDERS</w:t>
              </w:r>
            </w:hyperlink>
          </w:p>
        </w:tc>
        <w:tc>
          <w:tcPr>
            <w:tcW w:w="440" w:type="dxa"/>
            <w:vAlign w:val="bottom"/>
            <w:gridSpan w:val="3"/>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34</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2180" w:type="dxa"/>
            <w:vAlign w:val="bottom"/>
            <w:tcBorders>
              <w:top w:val="single" w:sz="8" w:color="0000EE"/>
            </w:tcBorders>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PLAN OF DISTRIBUTION</w:t>
              </w:r>
            </w:hyperlink>
          </w:p>
        </w:tc>
        <w:tc>
          <w:tcPr>
            <w:tcW w:w="64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35</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2000" w:type="dxa"/>
            <w:vAlign w:val="bottom"/>
            <w:tcBorders>
              <w:top w:val="single" w:sz="8" w:color="0000EE"/>
            </w:tcBorders>
            <w:gridSpan w:val="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LEGAL MATTERS</w:t>
              </w:r>
            </w:hyperlink>
          </w:p>
        </w:tc>
        <w:tc>
          <w:tcPr>
            <w:tcW w:w="6640" w:type="dxa"/>
            <w:vAlign w:val="bottom"/>
            <w:gridSpan w:val="8"/>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38</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24"/>
                <w:szCs w:val="24"/>
                <w:color w:val="auto"/>
              </w:rPr>
            </w:pPr>
          </w:p>
        </w:tc>
        <w:tc>
          <w:tcPr>
            <w:tcW w:w="7220" w:type="dxa"/>
            <w:vAlign w:val="bottom"/>
            <w:gridSpan w:val="10"/>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39</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WHERE YOU CAN FIND MORE INFORMATION ABOUT US</w:t>
              </w:r>
            </w:hyperlink>
          </w:p>
        </w:tc>
        <w:tc>
          <w:tcPr>
            <w:tcW w:w="440" w:type="dxa"/>
            <w:vAlign w:val="bottom"/>
            <w:gridSpan w:val="3"/>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40</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4640" w:type="dxa"/>
            <w:vAlign w:val="bottom"/>
            <w:tcBorders>
              <w:top w:val="single" w:sz="8" w:color="0000EE"/>
            </w:tcBorders>
            <w:gridSpan w:val="1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INCORPORATION OF DOCUMENTS BY REFERENCE</w:t>
              </w:r>
            </w:hyperlink>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41</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gridSpan w:val="2"/>
          </w:tcPr>
          <w:p>
            <w:pPr>
              <w:jc w:val="center"/>
              <w:ind w:right="3600"/>
              <w:spacing w:after="0"/>
              <w:rPr>
                <w:sz w:val="20"/>
                <w:szCs w:val="20"/>
                <w:color w:val="auto"/>
              </w:rPr>
            </w:pPr>
            <w:r>
              <w:rPr>
                <w:rFonts w:ascii="Arial" w:cs="Arial" w:eastAsia="Arial" w:hAnsi="Arial"/>
                <w:sz w:val="18"/>
                <w:szCs w:val="18"/>
                <w:color w:val="auto"/>
              </w:rPr>
              <w:t>i</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8" w:lineRule="exact"/>
        <w:rPr>
          <w:sz w:val="20"/>
          <w:szCs w:val="20"/>
          <w:color w:val="auto"/>
        </w:rPr>
      </w:pPr>
    </w:p>
    <w:p>
      <w:pPr>
        <w:ind w:right="40" w:firstLine="344"/>
        <w:spacing w:after="0" w:line="298" w:lineRule="auto"/>
        <w:rPr>
          <w:sz w:val="20"/>
          <w:szCs w:val="20"/>
          <w:color w:val="auto"/>
        </w:rPr>
      </w:pPr>
      <w:r>
        <w:rPr>
          <w:rFonts w:ascii="Arial" w:cs="Arial" w:eastAsia="Arial" w:hAnsi="Arial"/>
          <w:sz w:val="16"/>
          <w:szCs w:val="16"/>
          <w:color w:val="auto"/>
        </w:rPr>
        <w:t>You should carefully read this document and the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at the SEC's website or at the SEC as described under "Where You Can Find More Information About Us." In this prospectus, unless otherwise indicated or unless the context otherwise requires:</w:t>
      </w:r>
    </w:p>
    <w:p>
      <w:pPr>
        <w:sectPr>
          <w:pgSz w:w="11900" w:h="16838" w:orient="portrait"/>
          <w:cols w:equalWidth="0" w:num="1">
            <w:col w:w="11560"/>
          </w:cols>
          <w:pgMar w:left="160" w:top="51" w:right="179" w:bottom="1440" w:gutter="0" w:footer="0" w:header="0"/>
        </w:sectPr>
      </w:pPr>
    </w:p>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"ADSs" are to our American depositary shares, each of which represents eight Class A ordinary shares, and "ADRs" are to the American depositary receipts that evidence our ADSs;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"area committed" are to the net floor area of data centers in service for which agreements from customers remain in effect;</w:t>
      </w:r>
    </w:p>
    <w:p>
      <w:pPr>
        <w:spacing w:after="0" w:line="239" w:lineRule="exact"/>
        <w:rPr>
          <w:sz w:val="20"/>
          <w:szCs w:val="20"/>
          <w:color w:val="auto"/>
        </w:rPr>
      </w:pPr>
    </w:p>
    <w:p>
      <w:pPr>
        <w:ind w:right="480"/>
        <w:spacing w:after="0" w:line="331" w:lineRule="auto"/>
        <w:rPr>
          <w:sz w:val="20"/>
          <w:szCs w:val="20"/>
          <w:color w:val="auto"/>
        </w:rPr>
      </w:pPr>
      <w:r>
        <w:rPr>
          <w:rFonts w:ascii="Arial" w:cs="Arial" w:eastAsia="Arial" w:hAnsi="Arial"/>
          <w:sz w:val="16"/>
          <w:szCs w:val="16"/>
          <w:color w:val="auto"/>
        </w:rPr>
        <w:t>"area held for future development" are to the estimated data center net floor area that we expect to be able to develop on land, at buildings and pursuant to development or lease agreements which we have secured, but which are not under construction;</w:t>
      </w:r>
    </w:p>
    <w:p>
      <w:pPr>
        <w:spacing w:after="0" w:line="15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"area in service" are to the net floor area of data centers in service for which one or more modules have been equipped and fitted out ready for utilization by customers;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"area pre-committed" are to the net floor area of data centers under construction for which agreements from customers remain in effect;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"area utilized" are to the net floor area of data centers in service that is also revenue generating pursuant to customer agreements in effect;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"area under construction" are to the net floor area of data centers which are under construction and are not yet ready for service;</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"China" and the "PRC" are to the People's Republic of China, excluding, for the purposes of this prospectus only, Taiwan, the Hong Kong Special Administrative Region and the Macao Special Administrative Region;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"commitment rate" are to the ratio of area committed to area in service;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refers to, collectively, our Class A ordinary shares and Class B ordinary shares, par value US$0.00005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"pre-commitment rate" are to the ratio of area pre-committed to area under construction;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"RMB" or "Renminbi" are to the legal currency of China;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67" w:name="page68"/>
    <w:bookmarkEnd w:id="67"/>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Table of Contents</w:t>
        </w:r>
      </w:hyperlink>
    </w:p>
    <w:p>
      <w:pPr>
        <w:sectPr>
          <w:pgSz w:w="11900" w:h="16838" w:orient="portrait"/>
          <w:cols w:equalWidth="0" w:num="1">
            <w:col w:w="11480"/>
          </w:cols>
          <w:pgMar w:left="160" w:top="51" w:right="25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"self-developed data centers" are to data centers that we have either purpose-built, acquired while under construction and completed, or converted from existing buildings to fit our standards;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"sqm" are to square meters;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"third party data centers" are to data center net floor area that we lease on a wholesale basis from other data center providers and use to provide data center services to our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"US$," "U.S. dollars," or "dollars" are to the legal currency of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"utilization rate" are to the ratio of area utilized to area in service; and</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"us," "our company" and "our" are to GDS Holdings Limited and its subsidiaries and consolidated affiliated entities, as the context requires.</w:t>
      </w:r>
    </w:p>
    <w:p>
      <w:pPr>
        <w:spacing w:after="0" w:line="200" w:lineRule="exact"/>
        <w:rPr>
          <w:sz w:val="20"/>
          <w:szCs w:val="20"/>
          <w:color w:val="auto"/>
        </w:rPr>
      </w:pPr>
    </w:p>
    <w:p>
      <w:pPr>
        <w:sectPr>
          <w:pgSz w:w="11900" w:h="16838" w:orient="portrait"/>
          <w:cols w:equalWidth="0" w:num="2">
            <w:col w:w="800" w:space="280"/>
            <w:col w:w="10400"/>
          </w:cols>
          <w:pgMar w:left="160" w:top="51" w:right="259" w:bottom="1440" w:gutter="0" w:footer="0" w:header="0"/>
          <w:type w:val="continuous"/>
        </w:sectPr>
      </w:pPr>
    </w:p>
    <w:p>
      <w:pPr>
        <w:spacing w:after="0" w:line="4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specifically indicated otherwise or unless the context otherwise requires, all references to our ordinary shares exclude Class A ordinary shares issuable upon the exercise of outstanding options with respect to our ordinary shares under our share incentive plans.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that involve risks and uncertainties, including statements based on our current expectations, assumptions, estimates and projections about us and our industry. We have based these forward-looking statements on our current expectations and projections about future events. The forward-looking statements included in this prospectus, any prospectus supplement and the documents incorporated by reference are subject to known and unknown risks, uncertainties and other factors that may cause our actual results, performance or achievements to be materially different from those expressed or implied by the forward-looking statements. Factors that might cause or contribute to such differences include, but are not limited to, those discussed in "Risk Factors" included in documents we file from time to time with the SEC, including our Annual Report on Form 20-F for the fiscal year ended December 31, 2016 (incorporated by reference herein). In some cases, these forward-looking statements can be identified by words or phrases such as "may," "will," "expect," "anticipate," "aim," "estimate," "intend," "plan," "believe," "potential," "continue," "is/are likely to" or other similar expressions. The forward-looking statements included or incorporated by reference in this prospectus relate to, among others:</w:t>
      </w:r>
    </w:p>
    <w:p>
      <w:pPr>
        <w:sectPr>
          <w:pgSz w:w="11900" w:h="16838" w:orient="portrait"/>
          <w:cols w:equalWidth="0" w:num="1">
            <w:col w:w="11560"/>
          </w:cols>
          <w:pgMar w:left="160" w:top="51" w:right="179" w:bottom="1440" w:gutter="0" w:footer="0" w:header="0"/>
        </w:sectPr>
      </w:pP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goals and strategies;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future business development,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expected growth of the data center and cloud services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regarding demand for, and market acceptance of, our services;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our expectations regarding keeping and strengthening our relationships with customers; and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general economic and business conditions in the regions where we operate.</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any projections, assumptions and estimates of our future performance and the future performance of the industry in which we operate is necessarily subject to a high degree of uncertainty and risk due to a variety of factors, including those discussed under the heading "Risk Factors" included in the applicable prospectus supplement or under similar headings in other documents which are incorporated by reference in this prospectus. You should not place undue reliance on these forward-looking statements.</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forward-looking statements made in this prospectus and the documents incorporated by reference relate only to events or information as of the date on which the statements are made in this prospectus or the date of the incorporated document, as applicable. Except as required by law, we undertake no obligation to update any forward-looking statements to reflect events or circumstances after the date on which the statements are made or to reflect the occurrence of unanticipated events.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 leading developer and operator of high-performance data centers in China. Our facilities are strategically located in China's primary economic hubs where demand for high-performance data center services is concentrated. Our data centers have large net floor area, high power capacity, density and efficiency, and multiple redundancy across all critical systems. We are carrier and cloud neutral, which enables our customers to connect to all major PRC telecommunications carriers, and to access a number of the largest PRC cloud service providers, whom we host in our facilities. We offer colocation and managed services, including direct private connection to major cloud platforms. We have a 17-year track record of service delivery, successfully fulfilling the requirements of some of the largest and most demanding customers for outsourced data center services in China. Our base of approximately 500 customers consists predominantly of hyper-scale Cloud service providers, large Internet companies, financial institutions, telecommunications and IT service providers, and large domestic private sector and multinational corporations. As of September 30, 2017, we had an aggregate net floor area of 77,832 sqm in service, 89.8% of which was committed, and an aggregate net floor area of 37,478 sqm under construction, 34.6% of which was pre-committed.</w:t>
      </w:r>
    </w:p>
    <w:p>
      <w:pPr>
        <w:spacing w:after="0" w:line="173"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the market for high-performance data center services in China is experiencing strong growth. Demand is driven by the confluence of several secular economic and industry trends, including: rapid growth of the Internet, e-commerce, e-payments and big data; rising adoption of Cloud computing and server virtualization, which requires data centers with higher power capacity, density and efficiency; increasing criticality of information technology and data in the enterprise environment which requires data centers with higher reliability; and growing reliance by enterprises on outsourcing as a solution to the increasing complexity and cost of managing mission-critical IT infrastructure. We believe that, as a result of this strong demand and the challenges of sourcing, developing and operating new facilities that meet the required standard, there is a relative scarcity of high-performance data center capacity in China. In addition to our core markets, we have recently commenced construction of build-to-suit data centers for one of our largest customers, Alibaba, at a low-cost location in North China.</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portfolio of data centers and secured expansion capacity are strategically located to address this growing demand. We operate our data centers to service our customers predominantly in Shanghai, Beijing, Shenzhen, Guangzhou, Chengdu and Hong Kong, the primary financial, commercial, industrial and communications hubs in each region of China. Our data centers are located in close proximity to the corporate headquarters and key operation centers of many large enterprises, providing convenient access for our customers. Furthermore, the extensive multi-carrier telecommunications networks in these markets enable our customers to enhance the performance and lower the cost of connectivity to our facilities.</w:t>
      </w:r>
    </w:p>
    <w:p>
      <w:pPr>
        <w:spacing w:after="0" w:line="16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data centers are large-scale, highly reliable and highly efficient facilities that provide a flexible, modular and secure operating environment in which our customers can house, power and cool the computer systems and networking equipment that support their mission-critical IT infrastructure. We install large power capacity and optimize power usage efficiency, which enables our customers to deploy their IT infrastructure more efficiently and reduce their operating and capital costs. As a result of our advanced data center design, high technical specifications and robust operating procedures, we are able to make service level commitments related to service availability and other key metrics that meet our customers' required standards.</w:t>
      </w:r>
    </w:p>
    <w:p>
      <w:pPr>
        <w:spacing w:after="0" w:line="169"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currently serve approximately 500 customers, including large Internet companies, a diverse community of approximately 250 financial institutions, telecommunications and IT service providers and large domestic private sector and multinational corporations, many of which are leaders in their respective industries. Within our customer base, we host a number of major cloud platforms, including Ali Cloud and Tencent Cloud, which are each present in several of our data centers. Contracts with our large Internet and hyper-scale cloud customers have terms of three to ten years, while contracts with our enterprise customers typically have terms of one to five years.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140" w:firstLine="351"/>
        <w:spacing w:after="0" w:line="303" w:lineRule="auto"/>
        <w:rPr>
          <w:sz w:val="20"/>
          <w:szCs w:val="20"/>
          <w:color w:val="auto"/>
        </w:rPr>
      </w:pPr>
      <w:r>
        <w:rPr>
          <w:rFonts w:ascii="Arial" w:cs="Arial" w:eastAsia="Arial" w:hAnsi="Arial"/>
          <w:sz w:val="15"/>
          <w:szCs w:val="15"/>
          <w:color w:val="auto"/>
        </w:rPr>
        <w:t>Our principal executive offices are located at 2/F Tower 2, Youyou Century Place, 428 South Yanggao Road, Pudong, Shanghai 200127, People's Republic of China. Our telephone number at this address is +86-21-2033-0303. Our registered office in the Cayman Islands is located at the offices of Codan Trust Company (Cayman) Limited, Cricket Square, Hutchins Drive, P.O. Box 2681, Grand Cayman, KY1-1111, Cayman Islands. Our telephone number at this address is +1</w:t>
      </w:r>
    </w:p>
    <w:p>
      <w:pPr>
        <w:spacing w:after="0" w:line="1" w:lineRule="exact"/>
        <w:rPr>
          <w:sz w:val="20"/>
          <w:szCs w:val="20"/>
          <w:color w:val="auto"/>
        </w:rPr>
      </w:pPr>
    </w:p>
    <w:p>
      <w:pPr>
        <w:ind w:firstLine="8"/>
        <w:spacing w:after="0" w:line="323" w:lineRule="auto"/>
        <w:tabs>
          <w:tab w:leader="none" w:pos="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949 1040. We also have six regional offices in Suzhou, Beijing, Chengdu, Shenzhen, Guangzhou and Hong Kong. Investors should submit any inquiries to the address and telephone number of our principal executive offices set forth above.</w:t>
      </w:r>
    </w:p>
    <w:p>
      <w:pPr>
        <w:spacing w:after="0" w:line="14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Our main website is </w:t>
      </w:r>
      <w:r>
        <w:rPr>
          <w:rFonts w:ascii="Arial" w:cs="Arial" w:eastAsia="Arial" w:hAnsi="Arial"/>
          <w:sz w:val="18"/>
          <w:szCs w:val="18"/>
          <w:i w:val="1"/>
          <w:iCs w:val="1"/>
          <w:color w:val="auto"/>
        </w:rPr>
        <w:t>www.gds-services.com</w:t>
      </w:r>
      <w:r>
        <w:rPr>
          <w:rFonts w:ascii="Arial" w:cs="Arial" w:eastAsia="Arial" w:hAnsi="Arial"/>
          <w:sz w:val="18"/>
          <w:szCs w:val="18"/>
          <w:color w:val="auto"/>
        </w:rPr>
        <w:t>, and the information contained on this website is not a part of this prospectus. Our agent for service of process in the United States is Law Debenture Corporate Services Inc. located at 801 2nd Avenue, Suite 403, 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123190</wp:posOffset>
            </wp:positionV>
            <wp:extent cx="1920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of 1934, as amended, or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178" w:lineRule="exact"/>
        <w:rPr>
          <w:sz w:val="20"/>
          <w:szCs w:val="20"/>
          <w:color w:val="auto"/>
        </w:rPr>
      </w:pPr>
    </w:p>
    <w:p>
      <w:pPr>
        <w:ind w:right="140" w:firstLine="341"/>
        <w:spacing w:after="0" w:line="288" w:lineRule="auto"/>
        <w:rPr>
          <w:sz w:val="20"/>
          <w:szCs w:val="20"/>
          <w:color w:val="auto"/>
        </w:rPr>
      </w:pPr>
      <w:r>
        <w:rPr>
          <w:rFonts w:ascii="Arial" w:cs="Arial" w:eastAsia="Arial" w:hAnsi="Arial"/>
          <w:sz w:val="16"/>
          <w:szCs w:val="16"/>
          <w:color w:val="auto"/>
        </w:rPr>
        <w:t>As a company with less than US$1.07 billion in revenue for the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December 31, 2021; (c) the date on which we have, during the previous three 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2016, which is incorporated by reference in this prospectus, and which may be amended, supplemented or superseded from time to time by other reports we file with the SEC in the future.</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we offer as set forth in the applicable prospectus supplement(s).</w:t>
      </w:r>
    </w:p>
    <w:p>
      <w:pPr>
        <w:spacing w:after="0" w:line="26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right="820" w:firstLine="348"/>
        <w:spacing w:after="0" w:line="259" w:lineRule="auto"/>
        <w:rPr>
          <w:sz w:val="20"/>
          <w:szCs w:val="20"/>
          <w:color w:val="auto"/>
        </w:rPr>
      </w:pPr>
      <w:r>
        <w:rPr>
          <w:rFonts w:ascii="Arial" w:cs="Arial" w:eastAsia="Arial" w:hAnsi="Arial"/>
          <w:sz w:val="18"/>
          <w:szCs w:val="18"/>
          <w:color w:val="auto"/>
        </w:rPr>
        <w:t>We are a Cayman Islands exempted company with limited liability and our affairs are governed by our memorandum and articles of association, the Companies Law (2016 Revision), as amended, of the Cayman Islands, which is referred to as the Companies Law below, and the common law of the Cayman Islands.</w:t>
      </w:r>
    </w:p>
    <w:p>
      <w:pPr>
        <w:spacing w:after="0" w:line="194"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As of the date of this prospectus, our authorized share capital was US$100,100 divided into 2,002,000,000 ordinary shares, comprising 1,800,000,000 Class A ordinary shares, 200,000,000 Class B ordinary shares and 2,000,000 preferred shares, with a par value of US$0.00005 each. As of the date of this prospectus, there are 873,679,337 Class A ordinary shares and 67,590,336 Class B ordinary shares issued, fully-paid and outstanding. All of our ordinary shares issued and outstanding prior to the completion of the offering are and will be fully paid, and all of our shares to be issued in the offering will be issued as fully paid.</w:t>
      </w:r>
    </w:p>
    <w:p>
      <w:pPr>
        <w:spacing w:after="0" w:line="16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following are summaries of material provisions of our memorandum and articles of association and the Companies Law insofar as they relate to the material terms of our ordinary shares. The following summary is not complete, and you should read our memorandum and articles of association, which were filed with the SEC as Exhibit 3.2 to the registration statement on Form F-1 (File No. 333-213951), originally filed on October 4, 2016, as amended.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Entry Number and Objects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Our registered office in the Cayman Islands is located at the Codan Trust Company (Cayman) Limited, Cricket Square, Hutchins Drive, P.O. Box 2681, Grand Cayman, KY1-1111, Cayman Islands. We were incorporated as an exempted company under the laws of the Cayman Islands in 2006 and our incorporation number is 178332. The memorandum of association provides, </w:t>
      </w:r>
      <w:r>
        <w:rPr>
          <w:rFonts w:ascii="Arial" w:cs="Arial" w:eastAsia="Arial" w:hAnsi="Arial"/>
          <w:sz w:val="18"/>
          <w:szCs w:val="18"/>
          <w:i w:val="1"/>
          <w:iCs w:val="1"/>
          <w:color w:val="auto"/>
        </w:rPr>
        <w:t>inter alia</w:t>
      </w:r>
      <w:r>
        <w:rPr>
          <w:rFonts w:ascii="Arial" w:cs="Arial" w:eastAsia="Arial" w:hAnsi="Arial"/>
          <w:sz w:val="18"/>
          <w:szCs w:val="18"/>
          <w:color w:val="auto"/>
        </w:rPr>
        <w:t>, that the liability of each of the members of our company is limited to the amount from time to time unpaid on such member's shares. The objects for which our company is established are unrestricted, and we shall have full power and authority to carry out any object not prohibited or limited by the Companies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See "Item 6. Directors, Senior Management and Employeesâ€”C. Board Practicesâ€”Duties of Directors" and "Item 6. Directors, Senior Management and Employeesâ€”C. Board Practicesâ€”Appointment, Nomination and Terms of Directors" in our annual report on Form 20-F for the fiscal year ended December 31, 2016, which item is incorporated by reference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5"/>
          <w:szCs w:val="15"/>
          <w:color w:val="auto"/>
        </w:rPr>
        <w:t>All of our outstanding ordinary shares are fully paid and non-assessable. Certificates representing the ordinary shares are issued in registered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who are non-residents of the Cayman Islands may freely hold and vote their ordinary shares.</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our ordinary shares are entitled to such dividends as may be declared by our board of directors subject to the Companies Law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articles of association.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share capital is currently divided into two classes of shares, namely, ordinary shares and preferred shares. Our outstanding share capital consists of Class A ordinary shares, Class B ordinary shares and preferred shares. Class A ordinary shares and Class B ordinary shares carry equal rights, generally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one another and are entitled to one vote per share at general meetings of shareholders, except for only the following matters at general meetings of shareholders, with respect to which Class B ordinary shares are entitled to 20 votes per share: (i) the election of a simple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majority, or six, of our directors; and (ii) any change to our articles of association that would adversely affect the rights of Class B shareholders. With respect to any other matters at general meetings of our shareholders, each Class A ordinary share is entitled to one vote, and each Class B ordinary share is entitled to one vote. Class B ordinary shares are convertible into Class A ordinary shares, and will automatically convert into Class A ordinary shares under certain circumstances. Any Class A ordinary shares which Class B shareholders acquire will be converted into Class B ordinary shares. See "Description of Share Capitalâ€”Ordinary Sharesâ€”Conversion" of our Registration Statement on Form F-1 originally filed with the SEC on October 4, 2016, as amended (File No. 333-213951).</w:t>
      </w:r>
    </w:p>
    <w:p>
      <w:pPr>
        <w:spacing w:after="0" w:line="16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Pursuant to our amended articles of association the following matters will be subject to ordinary resolution of the shareholders, with Class A ordinary shares and Class B ordinary shares each being entitled to one vote per share: (i) the election of two independent directors nominated by our nominating and corporate governance committee; (ii) any allotment or issuance of any of our shares or securities (in any 12-month period, whether in a single transaction or a series of transactions) equal to 10% or more of our share capital, or 10% or more of our voting power, prior to such allotment or issuance (without regard to any exemption from shareholder approval available under the Nasdaq Stock Market Rules); and (iii) any disposition of all, or 10% or more, of our undertakings or assets, as defined in our amended articles of association.</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Subject to the abovementioned matters at general meetings of shareholders with respect to which Class B ordinary shares are entitled to 20 votes per share, an ordinary resolution to be passed by the shareholders requires the affirmative vote of a simple majority of votes attached to the ordinary shares cast in a general meeting, while a special resolution requires the affirmative vote of no less than 75% of votes cast attached to the ordinary shares. A special resolution will be required for important matters such as a change of name or making changes to our memorandum and articles of association.</w:t>
      </w:r>
    </w:p>
    <w:p>
      <w:pPr>
        <w:spacing w:after="0" w:line="166" w:lineRule="exact"/>
        <w:rPr>
          <w:sz w:val="20"/>
          <w:szCs w:val="20"/>
          <w:color w:val="auto"/>
        </w:rPr>
      </w:pPr>
    </w:p>
    <w:p>
      <w:pPr>
        <w:ind w:right="100" w:firstLine="351"/>
        <w:spacing w:after="0" w:line="285" w:lineRule="auto"/>
        <w:rPr>
          <w:sz w:val="20"/>
          <w:szCs w:val="20"/>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ordinary shares on the same business day as the first to occur of the following: (i) Mr. William Wei Huang, our founder, chairman and chief executive officer, collectively ceasing to have beneficial ownership (as such term is interpreted pursuant to applicable U.S. securities laws and rules, regulations and forms promulgated thereunder by the SEC), in aggregate, of not less than five per cent (5%) of our issued and outstanding share capital on an as-converted basis; (ii) the Foreign Investment Law in the form implemented does not require that our VIE entities as it relates to VIE entities be owned or controlled by PRC nationals or entities; (iii) the PRC law no longer requires the conduct of the businesses carried out, or contemplated to be carried out, by us in the PRC, be owned or controlled by PRC nationals or entities; (iv) the promulgation of the Foreign Investment Law as it relates to VIE entities is abandoned by the relevant authorities in the PRC; or (v) the relevant authorities in the PRC approve our VIE structure without the need for our VIE entities to be controlled by PRC nationals or entities; provided, however, that the Class B ordinary shares shall not be automatically converted upon ceasing to constitute five per cent (5%) of our issued and outstanding share capital on an as-converted basis if 75% of the board of directors resolve that such automatic conversion shall, in their opinion, result in our failing to comply with any applicable foreign ownership restrictions under PRC law. Class B shareholders may elect to convert any or all of their Class B ordinary shares into Class A ordinary shares. Each Class B ordinary share is generally convertible into one Class A ordinary share, or at a conversion rate of 1:1. However, if and when the nominal amount of one Class A ordinary share changes by reason of consolidation or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sub-division, the applicable conversion rate of Class B ordinary shares into Class A ordinary shares shall equal the quotient of the revised nominal amount, divided by the former nominal amount, of one Class A ordinary share.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Subject to the restrictions contained in our articles of association, as applicable, any of our shareholders may transfer all or any of his or her ordinary shares by an instrument of transfer in the usual or common form or any other form approved by our board of directors. Class B ordinary shares may not be assigned or transferred in whole or in part by a holder or such holder's affiliate. Class B ordinary shares must be converted into Class A ordinary shares prior to any such assignment or transfer.</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Our board of directors may also decline to register any transfer of any ordinary share unless:</w:t>
      </w:r>
    </w:p>
    <w:p>
      <w:pPr>
        <w:sectPr>
          <w:pgSz w:w="11900" w:h="16838" w:orient="portrait"/>
          <w:cols w:equalWidth="0" w:num="1">
            <w:col w:w="11540"/>
          </w:cols>
          <w:pgMar w:left="160" w:top="51" w:right="19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instrument of transfer is in respect of only one class of ordinary shares;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instrument of transfer is properly stamped, if required;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transferred are fully paid and free of any lien in favor of us;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fee related to the transfer has been paid to us;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transfer is not to more than four joint holders.</w:t>
      </w:r>
    </w:p>
    <w:p>
      <w:pPr>
        <w:spacing w:after="0" w:line="200"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spacing w:after="0" w:line="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On a return of capital on winding up or otherwise (other than on conversion, redemption or purchase of ordinary shares), assets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among the holders of ordinary shares shall be distributed among the holders of the ordinary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our assets available for distribution are insufficient to repay all of the paid-up capital, the assets will be distributed so that the losses are borne by our shareholders proportionately.</w:t>
      </w:r>
    </w:p>
    <w:p>
      <w:pPr>
        <w:spacing w:after="0" w:line="160"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b w:val="1"/>
          <w:bCs w:val="1"/>
          <w:i w:val="1"/>
          <w:iCs w:val="1"/>
          <w:color w:val="auto"/>
        </w:rPr>
        <w:t xml:space="preserve">Calls on Ordinary Shares and Forfeiture of Ordinary Shares. </w:t>
      </w:r>
      <w:r>
        <w:rPr>
          <w:rFonts w:ascii="Arial" w:cs="Arial" w:eastAsia="Arial" w:hAnsi="Arial"/>
          <w:sz w:val="16"/>
          <w:szCs w:val="16"/>
          <w:color w:val="auto"/>
        </w:rPr>
        <w:t>Our board of directors may from time to time make calls upon shareholders for any amounts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unpaid on their ordinary shares. The ordinary shares that have been called upon and remain unpaid are subject to forfeiture.</w:t>
      </w:r>
    </w:p>
    <w:p>
      <w:pPr>
        <w:spacing w:after="0" w:line="14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b w:val="1"/>
          <w:bCs w:val="1"/>
          <w:i w:val="1"/>
          <w:iCs w:val="1"/>
          <w:color w:val="auto"/>
        </w:rPr>
        <w:t xml:space="preserve">Redemption of Ordinary Shares. </w:t>
      </w:r>
      <w:r>
        <w:rPr>
          <w:rFonts w:ascii="Arial" w:cs="Arial" w:eastAsia="Arial" w:hAnsi="Arial"/>
          <w:sz w:val="15"/>
          <w:szCs w:val="15"/>
          <w:color w:val="auto"/>
        </w:rPr>
        <w:t>Subject to the provisions of the Companies Law and other applicable law, we may issue shares on terms that are subject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at our option or at the option of the holders, on such terms and in such manner, including out of capital, as may be determined by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Variations of Rights of Shares</w:t>
      </w:r>
    </w:p>
    <w:p>
      <w:pPr>
        <w:spacing w:after="0" w:line="231"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If at any time, our share capital is divided into different classes of shares, all or any of the special rights attached to any class of shares may, subject to the provisions of the Companies Law,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 The rights conferred upon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of Shareholders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Shareholders' meetings may be convened by a majority of our board of directors or our chairman. Advance notice of at least ten clear days is required for the convening of our annual general shareholders' meeting and any other general meeting of our shareholders. A quorum required for a meeting of shareholders consists of at least two shareholders present or by proxy, representing not less than one-third in nominal value of the total issued voting shares in our company.</w:t>
      </w:r>
    </w:p>
    <w:p>
      <w:pPr>
        <w:spacing w:after="0" w:line="16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allows our Class A shareholders (excluding STT GDC and its controlled affiliates) holding shares representing in aggregate not less than one-third of the issued and outstanding Class A ordinary shares of our company (calculated excluding Class A ordinary shares beneficially owned by STT GDC or its controlled affiliates), to requisition an extraordinary general meeting of our shareholders, in which case our directors are obliged to call such meeting and to put the resolutions so requisitioned to a vote at such meeting; however, our memorandum and articles of association does not provide our shareholders with any right to put any proposals before annual general meetings or extraordinary general meetings not called by such shareholders. When STT GDC no longer has any director appointment right as described herein, STT GDC will be eligible for the same right to requisition a shareholder meeting described above on the same terms as other Class A ordinary shareholders, where the one-third of the Class A ordinary shares will then be calculated based upon all Class A ordinary shares issued and outstanding. STT GDC and the Class B shareholders also have the right to requisition a general meeting insofar as is necessary to exercise and protect their respective nomination and appointment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23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in our articles provide our shareholders with the right to inspect our list of shareholders and to receive annual audited financial statements. See "Where You Can Find More Information About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from time to time by ordinary resolution:</w:t>
      </w:r>
    </w:p>
    <w:p>
      <w:pPr>
        <w:sectPr>
          <w:pgSz w:w="11900" w:h="16838" w:orient="portrait"/>
          <w:cols w:equalWidth="0" w:num="1">
            <w:col w:w="11560"/>
          </w:cols>
          <w:pgMar w:left="160" w:top="51" w:right="17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increase the share capital by such sum, to be divided into shares of such classes and amount, as the resolution shall prescribe;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sub-divide our existing shares, or any of them into shares of a smaller amount; or</w:t>
      </w:r>
    </w:p>
    <w:p>
      <w:pPr>
        <w:spacing w:after="0" w:line="2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We may by special resolution reduce our share capital or any capital redemption reserve in any manner permitted by law.</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Enumerated Rights under Our Amended Articles of Association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Appointment Rights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amended articles of association provide that for so long as STT GDC beneficially owns: not less than 25% of our issued and outstanding share capital, they may appoint three directors to our board of directors, including our vice-chairman; less than 25%, but not less than 15%, of our issued and outstanding share capital, they may appoint two directors to our board of directors, including our vice-chairman; and less than 15%, but not less than 8%, of our issued and outstanding share capital, they may appoint one director to our board of directors, including our vice-chairman, none of which appointments will be subject to a vote by our shareholders. Our amended articles of association also provide that for so long as STT GDC has the right to appoint one or more directors to our board of directors, any change in the total number of directors on our board shall require the approval of the director or directors appointed by STT GDC. The above rights of STT GDC may not be amended without the approval of STT GDC.</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amended articles of association further provide that for so long as there are Class B ordinary shares outstanding, if any of the directors nominated by or subject to election by Class B shareholders at 20 votes per share (i) is not elected or (ii) ceases to be a director, then the Class B shareholders may appoint an interim replacement for each such director. As of and after such time as there cease to be any Class B ordinary shares outstanding, and for so long as Mr. William Wei Huang beneficially owns not less than 2% of our then issued share capital, Mr. William Wei Huang may appoint one director (which is intended to be Mr. William Wei Huang) to our board of directors. Such appointments will not be subject to a vote by our shareholders. Any person so appointed shall hold office until the next general meeting of our shareholders and be subject to re-nomination and re-election at such meeting.</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Nomination Rights</w:t>
      </w:r>
    </w:p>
    <w:p>
      <w:pPr>
        <w:spacing w:after="0" w:line="225" w:lineRule="exact"/>
        <w:rPr>
          <w:sz w:val="20"/>
          <w:szCs w:val="20"/>
          <w:color w:val="auto"/>
        </w:rPr>
      </w:pPr>
    </w:p>
    <w:p>
      <w:pPr>
        <w:jc w:val="both"/>
        <w:ind w:right="60" w:firstLine="351"/>
        <w:spacing w:after="0" w:line="303" w:lineRule="auto"/>
        <w:rPr>
          <w:sz w:val="20"/>
          <w:szCs w:val="20"/>
          <w:color w:val="auto"/>
        </w:rPr>
      </w:pPr>
      <w:r>
        <w:rPr>
          <w:rFonts w:ascii="Arial" w:cs="Arial" w:eastAsia="Arial" w:hAnsi="Arial"/>
          <w:sz w:val="15"/>
          <w:szCs w:val="15"/>
          <w:color w:val="auto"/>
        </w:rPr>
        <w:t>Our amended articles of association also provide that for so long as there are Class B ordinary shares outstanding, the Class B shareholders shall have the right to nominate one less than a simple majority, or five, of our directors, all of whom will be subject to a vote at general meetings of our shareholders and with respect to whom Class B ordinary shares will be entitled to 20 votes per share. If any of the directors nominated by or subject to election by the Class B shareholders at</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20 votes per share (i) is not elected or (ii) ceases to be a director, then Mr. Huang may appoint another person to serve in the stead of such director. Any person so appointed shall hold office until the next general meeting of our shareholders and be subject to re-nomination and re-election at such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an exempted company with limited liability under the Companies Law of the Cayman Islands. The Companies Law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9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an exempted company does not have to file an annual return of its shareholders with the Registrar of Companies;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an exempted company's register of members is not open to inspection;</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an exempted company does not have to hold an annual general meeting;</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an exempted company may issue no par value, negotiable or bearer shares;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Table of Contents</w:t>
        </w:r>
      </w:hyperlink>
    </w:p>
    <w:p>
      <w:pPr>
        <w:sectPr>
          <w:pgSz w:w="11900" w:h="16838" w:orient="portrait"/>
          <w:cols w:equalWidth="0" w:num="1">
            <w:col w:w="11520"/>
          </w:cols>
          <w:pgMar w:left="160" w:top="51" w:right="21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 exempted company may register as a limited duration company;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 exempted company may register as a segregated portfolio company.</w:t>
      </w:r>
    </w:p>
    <w:p>
      <w:pPr>
        <w:spacing w:after="0" w:line="200"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spacing w:after="0" w:line="25"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"Limited liability" means that the liability of each shareholder is limited to the amount unpaid by the shareholder on the shares of the company. We are subject to reporting and other informational requirements of the Exchange Act, as applicable to foreign private issuers. We currently comply with the Nasdaq Stock Market Rules in lieu of following home country practice. The Nasdaq Stock Market Rules require that every company listed on the Nasdaq hold an annual general meeting of shareholders. In addition, our articles of association allow directors to call special meeting of shareholders pursuant to the procedures set forth in our articles.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Companies Law is modeled after that of England and Wales but does not follow recent statutory enactments in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spacing w:after="0" w:line="186" w:lineRule="exact"/>
        <w:rPr>
          <w:sz w:val="20"/>
          <w:szCs w:val="20"/>
          <w:color w:val="auto"/>
        </w:rPr>
      </w:pPr>
    </w:p>
    <w:p>
      <w:pPr>
        <w:ind w:right="20" w:firstLine="341"/>
        <w:spacing w:after="0" w:line="331" w:lineRule="auto"/>
        <w:rPr>
          <w:sz w:val="20"/>
          <w:szCs w:val="20"/>
          <w:color w:val="auto"/>
        </w:rPr>
      </w:pPr>
      <w:r>
        <w:rPr>
          <w:rFonts w:ascii="Arial" w:cs="Arial" w:eastAsia="Arial" w:hAnsi="Arial"/>
          <w:sz w:val="16"/>
          <w:szCs w:val="16"/>
          <w:color w:val="auto"/>
        </w:rPr>
        <w:t>A merger between a Cayman parent company and its Cayman subsidiary or subsidiaries does not require authorization by a resolution of shareholders. For this purpose a subsidiary is a company of which at least ninety percent (90%) of the issued shares entitled to vote are owned by the parent company.</w:t>
      </w:r>
    </w:p>
    <w:p>
      <w:pPr>
        <w:spacing w:after="0" w:line="14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94"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provided that the arrangement is approved by a majority in number of each class of shareholders and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7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the statutory provisions as to the required majority vote have been met;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79" w:name="page80"/>
    <w:bookmarkEnd w:id="79"/>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Table of Contents</w:t>
        </w:r>
      </w:hyperlink>
    </w:p>
    <w:p>
      <w:pPr>
        <w:sectPr>
          <w:pgSz w:w="11900" w:h="16838" w:orient="portrait"/>
          <w:cols w:equalWidth="0" w:num="1">
            <w:col w:w="11540"/>
          </w:cols>
          <w:pgMar w:left="160" w:top="51" w:right="19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00"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spacing w:after="0" w:line="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When a take over offer is made and accepted by holders of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principle, we will normally be the proper plaintiff and as a general rule a derivative action may not be brought by a minority shareholder. However, based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English authorities, which would in all likelihood be of persuasive authority in the Cayman Islands, there are exceptions to the foregoing principle, including when:</w:t>
      </w:r>
    </w:p>
    <w:p>
      <w:pPr>
        <w:sectPr>
          <w:pgSz w:w="11900" w:h="16838" w:orient="portrait"/>
          <w:cols w:equalWidth="0" w:num="1">
            <w:col w:w="11540"/>
          </w:cols>
          <w:pgMar w:left="160" w:top="51" w:right="199" w:bottom="1440" w:gutter="0" w:footer="0" w:header="0"/>
          <w:type w:val="continuous"/>
        </w:sect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company acts or proposes to act illegally or ultra vires;</w:t>
      </w:r>
    </w:p>
    <w:p>
      <w:pPr>
        <w:spacing w:after="0" w:line="25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those who control the company are perpetrating a "fraud on the minority."</w:t>
      </w:r>
    </w:p>
    <w:p>
      <w:pPr>
        <w:spacing w:after="0" w:line="200"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spacing w:after="0" w:line="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Anti-Takeover Provisions in the Memorandum and Articles of Association.</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Some provisions of our amended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60" w:lineRule="exact"/>
        <w:rPr>
          <w:sz w:val="20"/>
          <w:szCs w:val="20"/>
          <w:color w:val="auto"/>
        </w:rPr>
      </w:pPr>
    </w:p>
    <w:p>
      <w:pPr>
        <w:ind w:right="820" w:firstLine="351"/>
        <w:spacing w:after="0" w:line="331"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as amended and restated from time to time, for what they believe in good faith to be in the best interests of our company.</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7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companyâ€”a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Delaware General Corporation Law, a corporation may eliminate the right of shareholders to act by written consent by amendment to its certificate of incorporation. Cayman Islands law provides that shareholders may approve corporate matters by way of a unanimous written resolution signed by or on behalf of each shareholder who would have been entitled to vote on such matter at a general meeting without a meeting being held. However, our articles of association provides that corporate matters may not be resolved or voted upon without a meeting being held.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94" w:lineRule="exact"/>
        <w:rPr>
          <w:sz w:val="20"/>
          <w:szCs w:val="20"/>
          <w:color w:val="auto"/>
        </w:rPr>
      </w:pPr>
    </w:p>
    <w:p>
      <w:pPr>
        <w:ind w:right="140" w:firstLine="351"/>
        <w:spacing w:after="0" w:line="369" w:lineRule="auto"/>
        <w:rPr>
          <w:sz w:val="20"/>
          <w:szCs w:val="20"/>
          <w:color w:val="auto"/>
        </w:rPr>
      </w:pPr>
      <w:r>
        <w:rPr>
          <w:rFonts w:ascii="Arial" w:cs="Arial" w:eastAsia="Arial" w:hAnsi="Arial"/>
          <w:sz w:val="15"/>
          <w:szCs w:val="15"/>
          <w:color w:val="auto"/>
        </w:rPr>
        <w:t>Neither Cayman Islands law nor our articles of association allow our shareholders to requisition a shareholders' meeting. As an exempted Cayman Islands company, we are not obliged by law to call shareholders' annual general meetings. However, our articles of association require us to call such meetings every year.</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articles of association do not provide for cumulative voting. As a result, our shareholders are not afforded any less protections or rights on this issue than shareholders of a Delaware corporation.</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only in accordance with the enumerated appointment and nomination rights provided to certain of our shareholders.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Under the Companies Law of the Cayman Islands and our articles of association, our company may be dissolved, liquidated or wound up by the vote of holders of two-thirds of our shares voting at a meeting or the unanimous written resolution of all shareholders.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articles of association, if our share capital is divided into more than one class of shares, we may vary the rights attached to any class only with the sanction of a special resolution passed at a general meeting of the holders of the shares of that class.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Cayman Islands law, our memorandum and articles of association may only be amended by special resolution or the unanimous written resolution of all shareholders.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Directors' Power to Issue Shares.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Class A ordinary shares which we will deposit with the custodian, as agent of the depositary, under the deposit agreement among ourselves, the depositary and yourself as a holder of American depository receipts, or ADRs.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66" w:lineRule="exact"/>
        <w:rPr>
          <w:sz w:val="20"/>
          <w:szCs w:val="20"/>
          <w:color w:val="auto"/>
        </w:rPr>
      </w:pPr>
    </w:p>
    <w:p>
      <w:pPr>
        <w:ind w:right="80" w:firstLine="341"/>
        <w:spacing w:after="0" w:line="309" w:lineRule="auto"/>
        <w:rPr>
          <w:sz w:val="20"/>
          <w:szCs w:val="20"/>
          <w:color w:val="auto"/>
        </w:rPr>
      </w:pPr>
      <w:r>
        <w:rPr>
          <w:rFonts w:ascii="Arial" w:cs="Arial" w:eastAsia="Arial" w:hAnsi="Arial"/>
          <w:sz w:val="15"/>
          <w:szCs w:val="15"/>
          <w:color w:val="auto"/>
        </w:rPr>
        <w:t>As an ADR holder, we will not treat you as a shareholder of ours and you will not have any shareholder rights. Cayman Island law governs shareholder rights. Because the depositary or its nominee will be the shareholder of record for the Class A ordinary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Class A ordinary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6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Class A ordinary shares underlying my ADSs?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stated below, the depositary will deliver such distributions to ADR holders in proportion to their interests in the following manner:</w:t>
      </w:r>
    </w:p>
    <w:p>
      <w:pPr>
        <w:spacing w:after="0" w:line="225" w:lineRule="exact"/>
        <w:rPr>
          <w:sz w:val="20"/>
          <w:szCs w:val="20"/>
          <w:color w:val="auto"/>
        </w:rPr>
      </w:pPr>
    </w:p>
    <w:p>
      <w:pPr>
        <w:ind w:left="1080" w:right="160" w:hanging="539"/>
        <w:spacing w:after="0" w:line="290"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i w:val="1"/>
          <w:iCs w:val="1"/>
          <w:color w:val="auto"/>
        </w:rPr>
        <w:t xml:space="preserve">Cash. </w:t>
      </w:r>
      <w:r>
        <w:rPr>
          <w:rFonts w:ascii="Arial" w:cs="Arial" w:eastAsia="Arial" w:hAnsi="Arial"/>
          <w:sz w:val="16"/>
          <w:szCs w:val="16"/>
          <w:color w:val="auto"/>
        </w:rPr>
        <w:t>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w:t>
      </w:r>
    </w:p>
    <w:p>
      <w:pPr>
        <w:spacing w:after="0" w:line="1" w:lineRule="exact"/>
        <w:rPr>
          <w:sz w:val="20"/>
          <w:szCs w:val="20"/>
          <w:color w:val="auto"/>
        </w:rPr>
      </w:pPr>
    </w:p>
    <w:p>
      <w:pPr>
        <w:ind w:left="1080" w:firstLine="8"/>
        <w:spacing w:after="0" w:line="300" w:lineRule="auto"/>
        <w:tabs>
          <w:tab w:leader="none" w:pos="13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w:t>
      </w:r>
    </w:p>
    <w:p>
      <w:pPr>
        <w:spacing w:after="0" w:line="1" w:lineRule="exact"/>
        <w:rPr>
          <w:rFonts w:ascii="Arial" w:cs="Arial" w:eastAsia="Arial" w:hAnsi="Arial"/>
          <w:sz w:val="15"/>
          <w:szCs w:val="15"/>
          <w:color w:val="auto"/>
        </w:rPr>
      </w:pPr>
    </w:p>
    <w:p>
      <w:pPr>
        <w:ind w:left="1080" w:right="680"/>
        <w:spacing w:after="0" w:line="260" w:lineRule="auto"/>
        <w:rPr>
          <w:rFonts w:ascii="Arial" w:cs="Arial" w:eastAsia="Arial" w:hAnsi="Arial"/>
          <w:sz w:val="15"/>
          <w:szCs w:val="15"/>
          <w:color w:val="auto"/>
        </w:rPr>
      </w:pPr>
      <w:r>
        <w:rPr>
          <w:rFonts w:ascii="Arial" w:cs="Arial" w:eastAsia="Arial" w:hAnsi="Arial"/>
          <w:sz w:val="18"/>
          <w:szCs w:val="18"/>
          <w:color w:val="auto"/>
        </w:rPr>
        <w:t>(4) making any sale by public or private means in any commercially reasonable manner. If exchange rates fluctuate during a time when the depositary cannot convert a foreign currency, you may lose some or all of the value of the distribution.</w:t>
      </w:r>
    </w:p>
    <w:p>
      <w:pPr>
        <w:sectPr>
          <w:pgSz w:w="11900" w:h="16838" w:orient="portrait"/>
          <w:cols w:equalWidth="0" w:num="1">
            <w:col w:w="11520"/>
          </w:cols>
          <w:pgMar w:left="160" w:top="51" w:right="219" w:bottom="1440" w:gutter="0" w:footer="0" w:header="0"/>
        </w:sectPr>
      </w:pP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In the case of a distribution in shares, the depositary will issue additional ADRs to evidence the number of ADSs representing such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Only whole ADSs will be issued. Any shares which would result in fractional ADSs will be sold and the net proceeds will be distributed in the same manner as cash to the ADR holders entitled thereto.</w:t>
      </w:r>
    </w:p>
    <w:p>
      <w:pPr>
        <w:spacing w:after="0" w:line="194"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160"/>
        <w:spacing w:after="0" w:line="306" w:lineRule="auto"/>
        <w:rPr>
          <w:sz w:val="20"/>
          <w:szCs w:val="20"/>
          <w:color w:val="auto"/>
        </w:rPr>
      </w:pPr>
      <w:r>
        <w:rPr>
          <w:rFonts w:ascii="Arial" w:cs="Arial" w:eastAsia="Arial" w:hAnsi="Arial"/>
          <w:sz w:val="16"/>
          <w:szCs w:val="16"/>
          <w:i w:val="1"/>
          <w:iCs w:val="1"/>
          <w:color w:val="auto"/>
        </w:rPr>
        <w:t xml:space="preserve">Rights to receive additional shares. </w:t>
      </w:r>
      <w:r>
        <w:rPr>
          <w:rFonts w:ascii="Arial" w:cs="Arial" w:eastAsia="Arial" w:hAnsi="Arial"/>
          <w:sz w:val="16"/>
          <w:szCs w:val="16"/>
          <w:color w:val="auto"/>
        </w:rPr>
        <w:t>In the case of a distribution of rights to subscribe for additional shares or other rights, if we timely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60"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ind w:left="1240" w:hanging="253"/>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 or</w:t>
      </w:r>
    </w:p>
    <w:p>
      <w:pPr>
        <w:spacing w:after="0" w:line="248" w:lineRule="exact"/>
        <w:rPr>
          <w:rFonts w:ascii="Arial" w:cs="Arial" w:eastAsia="Arial" w:hAnsi="Arial"/>
          <w:sz w:val="16"/>
          <w:szCs w:val="16"/>
          <w:color w:val="auto"/>
        </w:rPr>
      </w:pPr>
    </w:p>
    <w:p>
      <w:pPr>
        <w:ind w:left="540" w:right="700" w:firstLine="403"/>
        <w:spacing w:after="0" w:line="331" w:lineRule="auto"/>
        <w:tabs>
          <w:tab w:leader="none" w:pos="12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41" w:lineRule="exact"/>
        <w:rPr>
          <w:sz w:val="20"/>
          <w:szCs w:val="20"/>
          <w:color w:val="auto"/>
        </w:rPr>
      </w:pPr>
    </w:p>
    <w:p>
      <w:pPr>
        <w:ind w:left="1080" w:right="160" w:hanging="539"/>
        <w:spacing w:after="0" w:line="331"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In the case of a distribution of securities or property other than those described above, the depositary may either (i)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or property in any manner it deems equitable and practicable or (ii) to the extent the depositary deems distribution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of such securities or property not to be equitable and practicable, sell such securities or property and distribute any net proceeds in the same way it distributes cash.</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9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depositary will issue ADSs if you or your broker deposit Class A ordinary shares or evidence of rights to receive Class A ordinary shares with the custodian and pay the fees and expenses owing to the depositary in connection with such issuance. In the case of the ADSs to be issued under this prospectus, we will arrange with the underwriters named herein to deposit such Class A ordinary shares.</w:t>
      </w:r>
    </w:p>
    <w:p>
      <w:pPr>
        <w:spacing w:after="0" w:line="194"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Class A ordinary 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94"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Class A ordinary shares and only have such rights as are contained in the deposit agreement. The custodian will also hold any additional securities, property and cash received on or in substitution for the deposited Class A ordinary shares. The deposited Class A ordinary shares and any such additional items are referred to as "deposited securities".</w:t>
      </w:r>
    </w:p>
    <w:p>
      <w:pPr>
        <w:spacing w:after="0" w:line="166"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Upon each deposit of Class A ordinary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name. An ADR holder can request that the ADSs not be held through the depositary's direct registration system and that a certificated ADR be issued.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Class A ordinary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ectPr>
          <w:pgSz w:w="11900" w:h="16838" w:orient="portrait"/>
          <w:cols w:equalWidth="0" w:num="1">
            <w:col w:w="11500"/>
          </w:cols>
          <w:pgMar w:left="160" w:top="5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temporary delays caused by closing our transfer books or those of the depositary or the deposit of Class A ordinary shares in connection with voting at a shareholders' meeting, or the payment of dividends;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payment of fees, taxes and similar charges; or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any U.S. or foreign laws or governmental regulations relating to the ADRs or to the withdrawal of deposited securities.</w:t>
      </w:r>
    </w:p>
    <w:p>
      <w:pPr>
        <w:spacing w:after="0" w:line="200"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depositary may, after consultation with us if practicable, fix record dates for the determination of the registered ADR holders who will be entitled (or obligated, as the case may be):</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to receive any distribution on or in respect of shares,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to give instructions for the exercise of voting rights at a meeting of holders of shares,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to pay the fee assessed by the depositary for administration of the ADR program and for any expenses as provided for in the ADR, or</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to receive any notice or to act in respect of other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Class A ordinary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the depositary to exercise the voting rights for the Class A ordinary shares which underlie your ADSs, including instructions for giving a discretionary proxy to a person designated by us. For instructions to be valid, the depositary</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must receive them in the manner and on or before the date specified. The depositary will try, as far as is practical, subject to the provisions of and governing the underlying Class A ordinary shares or other deposited securities, to vote or to have its agents vote the Class A ordinary shares or other deposited securities as you instruct. The depositary will only vote or attempt to vote as you instruct. Holders are strongly encouraged to forward their voting instructions to the depositary as soon as possible. Voting instructions will not be deemed to be received until such time as the ADR department responsible for proxies and voting has received such instructions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80"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 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94"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Additionally, if we make any written communications generally available to holders of our Class A ordinary shares, and we furnish copies thereof (or English translations or summaries) to the depositary, it will distribute the same to registered ADR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Class A ordinary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sell (by public or private sale) sufficient securities and property received in respect of a share distribution, rights and/or other distribution prior to such deposit to pay such charge.</w:t>
      </w:r>
    </w:p>
    <w:p>
      <w:pPr>
        <w:spacing w:after="0" w:line="186" w:lineRule="exact"/>
        <w:rPr>
          <w:sz w:val="20"/>
          <w:szCs w:val="20"/>
          <w:color w:val="auto"/>
        </w:rPr>
      </w:pPr>
    </w:p>
    <w:p>
      <w:pPr>
        <w:jc w:val="both"/>
        <w:ind w:right="540" w:firstLine="348"/>
        <w:spacing w:after="0" w:line="306" w:lineRule="auto"/>
        <w:rPr>
          <w:sz w:val="20"/>
          <w:szCs w:val="20"/>
          <w:color w:val="auto"/>
        </w:rPr>
      </w:pPr>
      <w:r>
        <w:rPr>
          <w:rFonts w:ascii="Arial" w:cs="Arial" w:eastAsia="Arial" w:hAnsi="Arial"/>
          <w:sz w:val="16"/>
          <w:szCs w:val="16"/>
          <w:color w:val="auto"/>
        </w:rPr>
        <w:t>The following additional charges shall be incurred by the ADR holders, by any party depositing or withdrawing Class A ordinary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ectPr>
          <w:pgSz w:w="11900" w:h="16838" w:orient="portrait"/>
          <w:cols w:equalWidth="0" w:num="1">
            <w:col w:w="11560"/>
          </w:cols>
          <w:pgMar w:left="160" w:top="51" w:right="179" w:bottom="1440" w:gutter="0" w:footer="0" w:header="0"/>
        </w:sectPr>
      </w:pP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fee of U.S.$1.50 per ADR or ADRs for transfers of certificated or direct registration ADRs;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fee of up to U.S.$0.05 per ADS for any cash distribution made pursuant to the deposit agreement;</w:t>
      </w:r>
    </w:p>
    <w:p>
      <w:pPr>
        <w:spacing w:after="0" w:line="239"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42"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1080" w:hanging="539"/>
        <w:spacing w:after="0" w:line="290"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Class A ordinary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8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 fee for the distribution of securities (or the sale of securities in connection with a distribution), such fee being in an amount equal to the $0.05 per</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ADS issuance fee for the execution and delivery of ADSs which would have been charged as a result of the deposit of such securities (treating all</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such securities as if they were shares) but which securities or the net cash proceeds from the sale thereof are instead distributed by the depositary to</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those holders entitled thereto;</w:t>
      </w:r>
    </w:p>
    <w:p>
      <w:pPr>
        <w:sectPr>
          <w:pgSz w:w="11900" w:h="16838" w:orient="portrait"/>
          <w:cols w:equalWidth="0" w:num="1">
            <w:col w:w="11560"/>
          </w:cols>
          <w:pgMar w:left="160" w:top="51" w:right="179" w:bottom="1440" w:gutter="0" w:footer="0" w:header="0"/>
          <w:type w:val="continuous"/>
        </w:sect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stock transfer or other taxes and other governmental charges;</w:t>
      </w:r>
    </w:p>
    <w:p>
      <w:pPr>
        <w:spacing w:after="0" w:line="2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cable, telex and facsimile transmission and delivery charges incurred at your request in connection with the deposit or delivery of Class A ordinary shares, ADRs or deposited securities;</w:t>
      </w:r>
    </w:p>
    <w:p>
      <w:pPr>
        <w:spacing w:after="0" w:line="21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w:t>
      </w:r>
    </w:p>
    <w:p>
      <w:pPr>
        <w:spacing w:after="0" w:line="1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conversion of foreign currency into U.S. dollars, JPMorgan Chase Bank, N.A. shall deduct out of such foreign currency the fees, expenses and other charges charged by it and/or its agent (which may be a division, branch or affiliate) so appointed in connection with such conversion; and</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jc w:val="center"/>
        <w:ind w:right="260"/>
        <w:spacing w:after="0"/>
        <w:rPr>
          <w:sz w:val="20"/>
          <w:szCs w:val="20"/>
          <w:color w:val="auto"/>
        </w:rPr>
      </w:pPr>
      <w:r>
        <w:rPr>
          <w:rFonts w:ascii="Arial" w:cs="Arial" w:eastAsia="Arial" w:hAnsi="Arial"/>
          <w:sz w:val="15"/>
          <w:szCs w:val="15"/>
          <w:color w:val="auto"/>
        </w:rPr>
        <w:t xml:space="preserve">JPMorgan Chase Bank, N.A. and/or its agent may act as principal for such conversion of foreign currency. For further details see </w:t>
      </w:r>
      <w:r>
        <w:rPr>
          <w:rFonts w:ascii="Arial" w:cs="Arial" w:eastAsia="Arial" w:hAnsi="Arial"/>
          <w:sz w:val="15"/>
          <w:szCs w:val="15"/>
          <w:i w:val="1"/>
          <w:iCs w:val="1"/>
          <w:color w:val="auto"/>
        </w:rPr>
        <w:t>https://www.adr.com</w:t>
      </w:r>
      <w:r>
        <w:rPr>
          <w:rFonts w:ascii="Arial" w:cs="Arial" w:eastAsia="Arial" w:hAnsi="Arial"/>
          <w:sz w:val="15"/>
          <w:szCs w:val="15"/>
          <w:color w:val="auto"/>
        </w:rPr>
        <w: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4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Class A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31" w:lineRule="auto"/>
        <w:rPr>
          <w:sz w:val="20"/>
          <w:szCs w:val="20"/>
          <w:color w:val="auto"/>
        </w:rPr>
      </w:pPr>
      <w:r>
        <w:rPr>
          <w:rFonts w:ascii="Arial" w:cs="Arial" w:eastAsia="Arial" w:hAnsi="Arial"/>
          <w:sz w:val="16"/>
          <w:szCs w:val="16"/>
          <w:color w:val="auto"/>
        </w:rPr>
        <w:t>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54"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30 days notice of any amendment that imposes or increases any fees or charges (other than stock transfer or other taxes and other governmental charges, transfer 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registration fees, SWIFT, cable, telex or facsimile transmission costs, delivery costs or other such expenses), or otherwise prejudices any substantial existing right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ADR holders. Such notice need not describe in detail the specific amendments effectuated thereby, but must identify to ADR holders a means to access the text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amendment. If an ADR holder continues to hold an ADR or ADRs after being so notified, such ADR holder is deemed to agree to such amendment and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bound by the deposit agreement as so amended. Notwithstanding the foregoing, if any governmental body or regulatory body should adopt new laws, rules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which would require amendment or supplement of the deposit agreement or the form of ADR to ensure compliance therewith, we and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amend or supplement the deposit agreement and the ADR at any time in accordance with such changed laws, rules or regulations, which amendment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may take effect before a notice is given or within any other period of time as required for compliance. No amendment, however, will impair your right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surrender your ADSs and receive the underlying securities, except in order to comply with mandatory provisions of applicable law.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nominees is a registered holder of ADRs, the depositary shall (a) instruct its custodian to deliver all Class A ordinary shares to us along with a general stock power that refers to the names set forth on the ADR register maintained by the depositary and (b) provide us with a copy of the ADR register maintained by the depositary. Upon receipt of such Class A ordinary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225"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ectPr>
          <w:pgSz w:w="11900" w:h="16838" w:orient="portrait"/>
          <w:cols w:equalWidth="0" w:num="1">
            <w:col w:w="11560"/>
          </w:cols>
          <w:pgMar w:left="160" w:top="51" w:right="179" w:bottom="1440" w:gutter="0" w:footer="0" w:header="0"/>
        </w:sectPr>
      </w:pP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Class A ordinary shares or other deposited securities upon any applicable register and (iii) any applicable fees and expenses described in the deposit agreement;</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197"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compliance with such regulations as the depositary may establish consistent with the deposit agreement.</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6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issuance of ADRs, the acceptance of deposits of Class A ordinary shares, the registration, registration of transfer, split-up or combination of ADRs or the withdrawal of Class A ordinary shares, may be suspended, generally or in particular instances, when the ADR register or any register for deposited securities is closed or when any such action is deemed advisable by the depositary; provided that the ability to withdraw Class A ordinary shares may only be limited under the following circumstances: (i) temporary delays caused by closing transfer books of the depositary or our transfer books or the deposit of Class A ordinary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4"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is intended by any of the limitations of liabilities provisions of the deposit agreement. In the deposit agreement it provides that neither we nor the depositary nor any such agent will be liable if:</w:t>
      </w:r>
    </w:p>
    <w:p>
      <w:pPr>
        <w:spacing w:after="0" w:line="194" w:lineRule="exact"/>
        <w:rPr>
          <w:sz w:val="20"/>
          <w:szCs w:val="20"/>
          <w:color w:val="auto"/>
        </w:rPr>
      </w:pPr>
    </w:p>
    <w:p>
      <w:pPr>
        <w:ind w:left="1080" w:right="180" w:hanging="539"/>
        <w:spacing w:after="0" w:line="259"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92" w:name="page93"/>
    <w:bookmarkEnd w:id="92"/>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Table of Contents</w:t>
        </w:r>
      </w:hyperlink>
    </w:p>
    <w:p>
      <w:pPr>
        <w:sectPr>
          <w:pgSz w:w="11900" w:h="16838" w:orient="portrait"/>
          <w:cols w:equalWidth="0" w:num="1">
            <w:col w:w="11540"/>
          </w:cols>
          <w:pgMar w:left="160" w:top="5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23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Class A ordinary shares for deposit, any registered holder of ADRs, or any other person believed by it to be competent to give such advice or information; or</w:t>
      </w:r>
    </w:p>
    <w:p>
      <w:pPr>
        <w:spacing w:after="0" w:line="194"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ind w:left="1080" w:right="6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99"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delay in action, omission to act, default or negligence on the part of the party so retained in connection with any such sale or proposed sale.</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86"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6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7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Class A ordinary shares or other deposited securities, the ADSs or the ADRs, the deposit agreement or any transaction contemplated therein, or the breach thereof (whether based on contract, tort, common law or any other theory).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231"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In its capacity as depositary, the depositary shall not lend shares or ADSs; provided, however, that the depositary may (i) issue ADSs prior to the receipt of Class A ordinary shares and (ii) deliver Class A ordinary shares prior to the receipt of ADSs for withdrawal of deposited securities, including ADSs which were issued under (i) above but for which shares may not have been received (each such transaction a "pre-release"). The depositary may receive ADSs in lieu of Class A ordinary shares under (i) above (which ADSs will promptly be canceled by the depositary upon receipt by the depositary) and receive Class A ordinary shares in lieu of ADSs under (ii) above. Each such pre-release will be subject to a written agreement whereby the person or entity (the "applicant") to whom ADSs or Class A ordinary shares are to be delivered (a) represents that at the time of the pre-release the applicant or its customer owns the Class A ordinary shares or ADSs that are to be delivered by the applicant under such pre-release, (b) agrees to indicate the depositary as owner of such Class A ordinary shares or ADSs in its records and to hold such Class A ordinary shares or ADSs in trust for the depositary until such Class A ordinary shares or ADSs are delivered to the depositary or the custodian,</w:t>
      </w:r>
    </w:p>
    <w:p>
      <w:pPr>
        <w:spacing w:after="0" w:line="4" w:lineRule="exact"/>
        <w:rPr>
          <w:sz w:val="20"/>
          <w:szCs w:val="20"/>
          <w:color w:val="auto"/>
        </w:rPr>
      </w:pPr>
    </w:p>
    <w:p>
      <w:pPr>
        <w:ind w:firstLine="8"/>
        <w:spacing w:after="0" w:line="286"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unconditionally guarantees to deliver to the depositary or the custodian, as applicable, such Class A ordinary shares or ADSs, and (d) agrees to any additional restrictions or requirements that the depositary deems appropriate. Each such pre-release will be at all times fully collateralized with cash, U.S. government securities or such other collateral as the depositary deems appropriate, terminable by the depositary on not more than five (5) business days' notice and subject to such further indemnities and credit regulations as the depositary deems appropriate. The depositary will normally limit the number of ADSs and Class A ordinary shares involved in such pre-release at any one time to thirty percent (30%) of the ADSs outstanding (without giving effect to ADSs outstanding under (i) above), provided, however, that the depositary reserves the right to change or disregard such limit from time to time as it deems appropriate. The depositary may also set limits with respect to the number of ADSs and Class A ordinary shares involved in pre-release with any one person on a case-by-case basis as it deems appropriate. The depositary may retain for its own account any compensation received by it in conjunction with the foregoing. Collateral provided in connection with pre-release transactions, but not the earnings thereon, shall be held for the benefit of the ADR holders (other than the applicant).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the deposit agreement, each registered holder of ADRs and each person holding an interest in ADSs, upon acceptance of any ADSs (or any interest therein)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issued in accordance with the terms and conditions of the deposit agreement will be deemed for all purposes to:</w:t>
      </w:r>
    </w:p>
    <w:p>
      <w:pPr>
        <w:sectPr>
          <w:pgSz w:w="11900" w:h="16838" w:orient="portrait"/>
          <w:cols w:equalWidth="0" w:num="1">
            <w:col w:w="11560"/>
          </w:cols>
          <w:pgMar w:left="160" w:top="51" w:right="179" w:bottom="1440" w:gutter="0" w:footer="0" w:header="0"/>
        </w:sect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 a party to and bound by the terms of the deposit agreement and the applicable ADR or ADRs, and</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w:t>
      </w:r>
    </w:p>
    <w:p>
      <w:pPr>
        <w:spacing w:after="0" w:line="19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80"/>
        <w:spacing w:after="0" w:line="268" w:lineRule="auto"/>
        <w:rPr>
          <w:sz w:val="20"/>
          <w:szCs w:val="20"/>
          <w:color w:val="auto"/>
        </w:rPr>
      </w:pPr>
      <w:r>
        <w:rPr>
          <w:rFonts w:ascii="Arial" w:cs="Arial" w:eastAsia="Arial" w:hAnsi="Arial"/>
          <w:sz w:val="18"/>
          <w:szCs w:val="18"/>
          <w:color w:val="auto"/>
        </w:rPr>
        <w:t>out the purposes of the deposit agreement and the applicable ADR and ADRs, the taking of such actions to be the conclusive determinant of the necessity and appropriateness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20" w:firstLine="348"/>
        <w:spacing w:after="0" w:line="304" w:lineRule="auto"/>
        <w:rPr>
          <w:sz w:val="20"/>
          <w:szCs w:val="20"/>
          <w:color w:val="auto"/>
        </w:rPr>
      </w:pPr>
      <w:r>
        <w:rPr>
          <w:rFonts w:ascii="Arial" w:cs="Arial" w:eastAsia="Arial" w:hAnsi="Arial"/>
          <w:sz w:val="15"/>
          <w:szCs w:val="15"/>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w:t>
      </w:r>
    </w:p>
    <w:p>
      <w:pPr>
        <w:spacing w:after="0" w:line="1" w:lineRule="exact"/>
        <w:rPr>
          <w:sz w:val="20"/>
          <w:szCs w:val="20"/>
          <w:color w:val="auto"/>
        </w:rPr>
      </w:pPr>
    </w:p>
    <w:p>
      <w:pPr>
        <w:ind w:firstLine="8"/>
        <w:spacing w:after="0" w:line="286" w:lineRule="auto"/>
        <w:tabs>
          <w:tab w:leader="none" w:pos="2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7"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incorporated under the laws of the Cayman Islands as an exempted company with limited liability. We are incorporated in the Cayman Islands because of certain benefits associated with being a Cayman Islands corporation,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69"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Substantially all of our operations are conducted in China, and substantially all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spacing w:after="0" w:line="198"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60" w:lineRule="exact"/>
        <w:rPr>
          <w:sz w:val="20"/>
          <w:szCs w:val="20"/>
          <w:color w:val="auto"/>
        </w:rPr>
      </w:pPr>
    </w:p>
    <w:p>
      <w:pPr>
        <w:ind w:right="280" w:firstLine="351"/>
        <w:spacing w:after="0" w:line="303" w:lineRule="auto"/>
        <w:rPr>
          <w:sz w:val="20"/>
          <w:szCs w:val="20"/>
          <w:color w:val="auto"/>
        </w:rPr>
      </w:pPr>
      <w:r>
        <w:rPr>
          <w:rFonts w:ascii="Arial" w:cs="Arial" w:eastAsia="Arial" w:hAnsi="Arial"/>
          <w:sz w:val="15"/>
          <w:szCs w:val="15"/>
          <w:color w:val="auto"/>
        </w:rPr>
        <w:t>Conyers Dill &amp; Pearman, our counsel as to Cayman Islands law, and King &amp; Wood Mallesons, our counsel as to PRC law, have advised us that there is uncertainty as to whether the courts of the Cayman Islands or the PRC would, respectively, (1) recognize or enforce judgments of United States courts obtained against us or our directors or officers predicated upon the civil liability provisions of the securities laws of the United States or any state in the United States and</w:t>
      </w:r>
    </w:p>
    <w:p>
      <w:pPr>
        <w:spacing w:after="0" w:line="1" w:lineRule="exact"/>
        <w:rPr>
          <w:sz w:val="20"/>
          <w:szCs w:val="20"/>
          <w:color w:val="auto"/>
        </w:rPr>
      </w:pPr>
    </w:p>
    <w:p>
      <w:pPr>
        <w:ind w:right="960" w:firstLine="8"/>
        <w:spacing w:after="0" w:line="260"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the PRC against us or our directors or officers predicated upon the securities laws of the United States or any state in the United States.</w:t>
      </w:r>
    </w:p>
    <w:p>
      <w:pPr>
        <w:spacing w:after="0" w:line="1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Conyers Dill &amp; Pearman has informed us that the uncertainty with regard to Cayman Islands law relates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Conyers Dill &amp; Pearman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 under the common law doctrine of obligation.</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Conyers Dill &amp; Pearman has advised us that there is no statutory recognition in the Cayman Islands of judgments obtained in the United States, although the Cayman Islands will generally recognize as a valid judgment, a final and conclusive judgment in personam obtained in the federal or state courts in the United States under which a sum of money is payable (other than a sum of money payable in respect of multiple damages, taxes or other charges of a like nature or in respect of a fine or other penalty) and would give a judgment based thereon provided that (i) such courts had proper jurisdiction over the parties subject to such judgment; (ii) such courts did not contravene the rules 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natural justice of the Cayman Islands; (iii) such judgment was not obtained by fraud; (iv) the enforcement of the judgment would not be contrary to the public policy of the Cayman Islands; (v) no new admissible evidence relevant to the action is submitted prior to the rendering of the judgment by the courts of the Cayman Islands; and (vi) there is due compliance with the correct procedures under the laws of the Cayman Islands.</w:t>
      </w:r>
    </w:p>
    <w:p>
      <w:pPr>
        <w:spacing w:after="0" w:line="16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King &amp; Wood Mallesons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King &amp; Wood Mallesons has advised us further that under PRC law, a foreign judgment, which does not otherwise violate basic legal principles, state sovereignty, safety or social public interest, may be recognized and enforced by a PRC court, based either on treaties between China and the country where the judgment is made or on principles of reciprocity between jurisdictions. As there exists no treaty or other form of reciprocal arrangement between China and the United States governing the recognition and enforcement of judgments as of the date of this registration statement, including those predicated upon the liability provisions of the United States federal securities laws, there is uncertainty on whether and on what basis a PRC court will recognize or enforce a judgment ruled by a United States court.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supplement(s) relating to the offering of those securities.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SHAREHOLDERS</w:t>
      </w:r>
    </w:p>
    <w:p>
      <w:pPr>
        <w:spacing w:after="0" w:line="225"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6"/>
          <w:szCs w:val="16"/>
          <w:color w:val="auto"/>
        </w:rPr>
        <w:t>elling shareholders to be named in a prospectus supplement may, from time to time, offer and sell some or all of the shares of our Class A ordinary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ADSs held by them pursuant to this prospectus and the applicable prospectus supplement. Such selling shareholders may sell shares of our Class A ordinary shares or ADSs held by them to or through underwriters, dealers or agents or directly to purchasers or as otherwise set forth in the applicable prospectus supplement. See "Plan of Distribution." Such selling shareholders may also sell, transfer or otherwise dispose of some or all of our Class A ordinary shares held by them in transactions exempt from the registration requirements of the Securities Act.</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will provide you with a prospectus supplement, which will set forth the name of each selling shareholder, the number of shares of our ordinary shares beneficially owned by such selling shareholder and the number of our Class A ordinary shares or ADSs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and the selling shareholders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 if applicable:</w:t>
      </w:r>
    </w:p>
    <w:p>
      <w:pPr>
        <w:sectPr>
          <w:pgSz w:w="11900" w:h="16838" w:orient="portrait"/>
          <w:cols w:equalWidth="0" w:num="1">
            <w:col w:w="11560"/>
          </w:cols>
          <w:pgMar w:left="160" w:top="51" w:right="179" w:bottom="144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names of any underwriters, dealers or agents;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name or names of any managing underwriter or underwriters;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of the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from the sale of the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any delayed delivery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any underwriting discounts, commissions and other items constituting underwriters'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any offering price to the public;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any discounts or concessions allowed or reallowed or paid to dealers;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any commissions paid to agents.</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73"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31" w:lineRule="exact"/>
        <w:rPr>
          <w:sz w:val="20"/>
          <w:szCs w:val="20"/>
          <w:color w:val="auto"/>
        </w:rPr>
      </w:pPr>
    </w:p>
    <w:p>
      <w:pPr>
        <w:ind w:right="40" w:firstLine="348"/>
        <w:spacing w:after="0" w:line="331" w:lineRule="auto"/>
        <w:rPr>
          <w:sz w:val="20"/>
          <w:szCs w:val="20"/>
          <w:color w:val="auto"/>
        </w:rPr>
      </w:pPr>
      <w:r>
        <w:rPr>
          <w:rFonts w:ascii="Arial" w:cs="Arial" w:eastAsia="Arial" w:hAnsi="Arial"/>
          <w:sz w:val="16"/>
          <w:szCs w:val="16"/>
          <w:color w:val="auto"/>
        </w:rPr>
        <w:t>We and the selling shareholders may sell the securities offered through this prospectus directly. In this case, no underwriters or agents would be involved. Such securities may also be sold through agents designated from time to time. The prospectus supplement will name any agent involved in the offer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331" w:lineRule="auto"/>
        <w:rPr>
          <w:sz w:val="20"/>
          <w:szCs w:val="20"/>
          <w:color w:val="auto"/>
        </w:rPr>
      </w:pPr>
      <w:r>
        <w:rPr>
          <w:rFonts w:ascii="Arial" w:cs="Arial" w:eastAsia="Arial" w:hAnsi="Arial"/>
          <w:sz w:val="16"/>
          <w:szCs w:val="16"/>
          <w:color w:val="auto"/>
        </w:rPr>
        <w:t>sale of the offered securities and will describe any commissions payable to the agent by us and the selling shareholders. Unless otherwise indicated in the prospectus supplement, any agent will agree to use its reasonable best efforts to solicit purchases for the period of its appointment.</w:t>
      </w:r>
    </w:p>
    <w:p>
      <w:pPr>
        <w:spacing w:after="0" w:line="141" w:lineRule="exact"/>
        <w:rPr>
          <w:sz w:val="20"/>
          <w:szCs w:val="20"/>
          <w:color w:val="auto"/>
        </w:rPr>
      </w:pPr>
    </w:p>
    <w:p>
      <w:pPr>
        <w:ind w:right="160" w:firstLine="348"/>
        <w:spacing w:after="0" w:line="331" w:lineRule="auto"/>
        <w:rPr>
          <w:sz w:val="20"/>
          <w:szCs w:val="20"/>
          <w:color w:val="auto"/>
        </w:rPr>
      </w:pPr>
      <w:r>
        <w:rPr>
          <w:rFonts w:ascii="Arial" w:cs="Arial" w:eastAsia="Arial" w:hAnsi="Arial"/>
          <w:sz w:val="16"/>
          <w:szCs w:val="16"/>
          <w:color w:val="auto"/>
        </w:rPr>
        <w:t>We and the selling shareholders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the prospectus supplement indicates, we or the selling shareholders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Unless the applicable prospectus supplement states otherwise or the shares are offered by the selling shareholders, each series of offered securities will be a new issue and will have no established trading market. We may elect to list any series of offered securities on an exchange. Any underwriters that we and the selling shareholders use in the sale of offered securities may make a market in such securities, but may discontinue such market making at any time without notice. Therefore, we cannot assure you that the securities will have a liquid trading market.</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the selling shareholders,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the selling shareholders or others (or, in the case of derivatives, securities received from us or the selling shareholders in settlement of those derivatives) to directly or indirectly settle sales of the securities or close out any related open borrowings of the securities.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and the selling shareholders may also make sales through the Internet or through other electronic means. Since we and the selling shareholders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being represented by Simpson Thacher &amp; Bartlett LLP with respect to certain legal matters of United States federal securities and New York state law. Certain legal matters of United States federal securities and New York state law in connection with this offering will be passed upon for the underwriters by a law firm or firms named in the applicable prospectus supplement. The validity of the securities offered in this offering and legal matters as to Cayman Islands law will be passed upon for us by Conyers Dill &amp; Pearman. Certain legal matters as to PRC law will be passed upon for us by King &amp; Wood Mallesons and for the underwriters by a law firm or firms named in the applicable prospectus supplement. Simpson Thacher &amp; Bartlett LLP and Conyers Dill &amp; Pearman may rely upon King &amp; Wood Mallesons with respect to matters governed by PRC law.</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consolidated financial statements of GDS Holdings Limited as of December 31, 2015 and 2016, and for each of the years in the three-year period ended December 31, 2016,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office of KPMG Huazhen LLP is located at 25th Floor, Tower II, Plaza 66, 1266 Nanjing West Road, Shanghai, People's Republic of China.</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Our main website is </w:t>
      </w:r>
      <w:r>
        <w:rPr>
          <w:rFonts w:ascii="Arial" w:cs="Arial" w:eastAsia="Arial" w:hAnsi="Arial"/>
          <w:sz w:val="18"/>
          <w:szCs w:val="18"/>
          <w:i w:val="1"/>
          <w:iCs w:val="1"/>
          <w:color w:val="auto"/>
        </w:rPr>
        <w:t>www.gds-services.com</w:t>
      </w:r>
      <w:r>
        <w:rPr>
          <w:rFonts w:ascii="Arial" w:cs="Arial" w:eastAsia="Arial" w:hAnsi="Arial"/>
          <w:sz w:val="18"/>
          <w:szCs w:val="18"/>
          <w:color w:val="auto"/>
        </w:rPr>
        <w:t>, and the information contained on this website is not a part of this prospectus. Our agent for service of process in the United States is Law Debenture Corporate Services Inc. located at 801 2nd Avenue, Suite 403, New York, NY 10017.</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incorporate by reference the documents listed below:</w:t>
      </w:r>
    </w:p>
    <w:p>
      <w:pPr>
        <w:sectPr>
          <w:pgSz w:w="11900" w:h="16838" w:orient="portrait"/>
          <w:cols w:equalWidth="0" w:num="1">
            <w:col w:w="11520"/>
          </w:cols>
          <w:pgMar w:left="160" w:top="51" w:right="21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20-F for the fiscal year ended December 31, 2016, originally filed with the SEC on April 19,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current report on Form 6-K furnished to the SEC on January 23, 2018, including exhibits thereto;</w:t>
      </w:r>
    </w:p>
    <w:p>
      <w:pPr>
        <w:spacing w:after="0" w:line="239" w:lineRule="exact"/>
        <w:rPr>
          <w:sz w:val="20"/>
          <w:szCs w:val="20"/>
          <w:color w:val="auto"/>
        </w:rPr>
      </w:pPr>
    </w:p>
    <w:p>
      <w:pPr>
        <w:ind w:right="620"/>
        <w:spacing w:after="0" w:line="331" w:lineRule="auto"/>
        <w:rPr>
          <w:sz w:val="20"/>
          <w:szCs w:val="20"/>
          <w:color w:val="auto"/>
        </w:rPr>
      </w:pPr>
      <w:r>
        <w:rPr>
          <w:rFonts w:ascii="Arial" w:cs="Arial" w:eastAsia="Arial" w:hAnsi="Arial"/>
          <w:sz w:val="16"/>
          <w:szCs w:val="16"/>
          <w:color w:val="auto"/>
        </w:rPr>
        <w:t>the description of the securities contained in our registration statement on Form 8-A filed on October 20, 2016 pursuant to Section 12 of the Exchange Act, together with all amendments and reports filed for the purpose of updating that description;</w:t>
      </w:r>
    </w:p>
    <w:p>
      <w:pPr>
        <w:spacing w:after="0" w:line="15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any future annual reports on Form 20-F filed with the SEC after the date of this prospectus and prior to the termination of the offering of the securities offered by this prospectus; and</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w:t>
      </w:r>
    </w:p>
    <w:p>
      <w:pPr>
        <w:spacing w:after="0" w:line="186"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jc w:val="both"/>
        <w:ind w:firstLine="351"/>
        <w:spacing w:after="0" w:line="259"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GDS Holdings Limited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2/F, Tower 2, Youyou Century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428 South Yanggao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Pudong, Shanghai 200127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+86-21-2033-0303</w:t>
      </w:r>
    </w:p>
    <w:p>
      <w:pPr>
        <w:spacing w:after="0" w:line="219" w:lineRule="exact"/>
        <w:rPr>
          <w:sz w:val="20"/>
          <w:szCs w:val="20"/>
          <w:color w:val="auto"/>
        </w:rPr>
      </w:pPr>
    </w:p>
    <w:p>
      <w:pPr>
        <w:ind w:right="280" w:firstLine="344"/>
        <w:spacing w:after="0" w:line="259"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lowerRoman"/>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7"/>
    </w:lvl>
  </w:abstractNum>
  <w:abstractNum w:abstractNumId="15">
    <w:nsid w:val="721DA317"/>
    <w:multiLevelType w:val="hybridMultilevel"/>
    <w:lvl w:ilvl="0">
      <w:lvlJc w:val="left"/>
      <w:lvlText w:val="%1."/>
      <w:numFmt w:val="upp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decimal"/>
      <w:start w:val="5"/>
    </w:lvl>
  </w:abstractNum>
  <w:abstractNum w:abstractNumId="19">
    <w:nsid w:val="75A2A8D4"/>
    <w:multiLevelType w:val="hybridMultilevel"/>
    <w:lvl w:ilvl="0">
      <w:lvlJc w:val="left"/>
      <w:lvlText w:val="(%1)"/>
      <w:numFmt w:val="lowerRoman"/>
      <w:start w:val="1"/>
    </w:lvl>
  </w:abstractNum>
  <w:abstractNum w:abstractNumId="20">
    <w:nsid w:val="8EDBDAB"/>
    <w:multiLevelType w:val="hybridMultilevel"/>
    <w:lvl w:ilvl="0">
      <w:lvlJc w:val="left"/>
      <w:lvlText w:val="(%1)"/>
      <w:numFmt w:val="decimal"/>
      <w:start w:val="345"/>
    </w:lvl>
  </w:abstractNum>
  <w:abstractNum w:abstractNumId="21">
    <w:nsid w:val="79838CB2"/>
    <w:multiLevelType w:val="hybridMultilevel"/>
    <w:lvl w:ilvl="0">
      <w:lvlJc w:val="left"/>
      <w:lvlText w:val="(%1)"/>
      <w:numFmt w:val="decimal"/>
      <w:start w:val="345"/>
    </w:lvl>
  </w:abstractNum>
  <w:abstractNum w:abstractNumId="22">
    <w:nsid w:val="4353D0CD"/>
    <w:multiLevelType w:val="hybridMultilevel"/>
    <w:lvl w:ilvl="0">
      <w:lvlJc w:val="left"/>
      <w:lvlText w:val="(%1)"/>
      <w:numFmt w:val="lowerRoman"/>
      <w:start w:val="3"/>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3"/>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2019-11-25T12:02:25Z</dcterms:created>
  <dcterms:modified xsi:type="dcterms:W3CDTF">2019-11-25T12:02:25Z</dcterms:modified>
</cp:coreProperties>
</file>