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2032-1_4seq1.xml.htm"/>
      <w:bookmarkStart w:id="1" w:name="kstm2622032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Huang William Wei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F4/F5, BLDG C, SUNLAND INTERNATIONAL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999 ZHOUHAI ROAD, PUDONG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SHANGHAI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200137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GDS Holdings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GDS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  <w:r>
              <w:rPr/>
              <w:br/>
              <w:t xml:space="preserve">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9,698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42"/>
        <w:gridCol w:w="918"/>
        <w:gridCol w:w="788"/>
        <w:gridCol w:w="610"/>
        <w:gridCol w:w="344"/>
        <w:gridCol w:w="920"/>
        <w:gridCol w:w="434"/>
        <w:gridCol w:w="600"/>
        <w:gridCol w:w="1171"/>
        <w:gridCol w:w="980"/>
        <w:gridCol w:w="119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4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4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4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53,334</w:t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254,222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4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318,671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Solution Leisure Investment Limited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American Depositary Share ("ADS") represents eight (8) Class A ordinary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the acquisition of ADSs upon settlement of fully vested Restricted Stock Unit ("RSU") awards after certification of performance conditions on August 3, 2026 and satisfaction of time conditions.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William Wei Huang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27280" TargetMode="External"/><Relationship Id="rId5" Type="http://schemas.openxmlformats.org/officeDocument/2006/relationships/hyperlink" Target="http://www.sec.gov/cgi-bin/browse-edgar?action=getcompany&amp;CIK=00015261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628</Words>
  <Characters>3446</Characters>
  <CharactersWithSpaces>4002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