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285d1_s8.htm"/>
      <w:bookmarkStart w:id="1" w:name="kstm2618285d1_s8"/>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18,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GDS Holdings Limited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4345" w:type="dxa"/>
        <w:jc w:val="left"/>
        <w:tblInd w:w="0" w:type="dxa"/>
        <w:shd w:fill="FFFFFF" w:val="clear"/>
        <w:tblLayout w:type="fixed"/>
        <w:tblCellMar>
          <w:top w:w="0" w:type="dxa"/>
          <w:left w:w="0" w:type="dxa"/>
          <w:bottom w:w="0" w:type="dxa"/>
          <w:right w:w="0" w:type="dxa"/>
        </w:tblCellMar>
      </w:tblPr>
      <w:tblGrid>
        <w:gridCol w:w="2720"/>
        <w:gridCol w:w="60"/>
        <w:gridCol w:w="1565"/>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center"/>
              <w:rPr>
                <w:b/>
                <w:sz w:val="20"/>
              </w:rPr>
            </w:pPr>
            <w:r>
              <w:rPr>
                <w:b/>
                <w:sz w:val="20"/>
              </w:rPr>
              <w:t>Cayman Islands</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r>
              <w:rPr>
                <w:b/>
                <w:sz w:val="20"/>
              </w:rPr>
              <w:t>Not Applicable</w:t>
            </w:r>
          </w:p>
        </w:tc>
      </w:tr>
      <w:tr>
        <w:trPr/>
        <w:tc>
          <w:tcPr>
            <w:tcW w:w="272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+86-21- 2029-2200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 Equity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+1-212-947-7200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545"/>
        <w:gridCol w:w="2870"/>
      </w:tblGrid>
      <w:tr>
        <w:trPr/>
        <w:tc>
          <w:tcPr>
            <w:tcW w:w="3545"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Newman</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+86-21- 2029-2200</w:t>
            </w:r>
          </w:p>
        </w:tc>
        <w:tc>
          <w:tcPr>
            <w:tcW w:w="2870"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 Gao, Esq.</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Simpson Thacher &amp; Bartlett LLP</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35th Floor, ICBC Tower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Garden Road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+852-2514-7600</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tbl>
      <w:tblPr>
        <w:tblW w:w="8495" w:type="dxa"/>
        <w:jc w:val="left"/>
        <w:tblInd w:w="0" w:type="dxa"/>
        <w:shd w:fill="FFFFFF" w:val="clear"/>
        <w:tblLayout w:type="fixed"/>
        <w:tblCellMar>
          <w:top w:w="0" w:type="dxa"/>
          <w:left w:w="0" w:type="dxa"/>
          <w:bottom w:w="0" w:type="dxa"/>
          <w:right w:w="0" w:type="dxa"/>
        </w:tblCellMar>
      </w:tblPr>
      <w:tblGrid>
        <w:gridCol w:w="1835"/>
        <w:gridCol w:w="60"/>
        <w:gridCol w:w="4040"/>
        <w:gridCol w:w="60"/>
        <w:gridCol w:w="2225"/>
        <w:gridCol w:w="60"/>
        <w:gridCol w:w="215"/>
      </w:tblGrid>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sz w:val="20"/>
              </w:rPr>
            </w:pPr>
            <w:r>
              <w:rPr>
                <w:sz w:val="20"/>
              </w:rPr>
              <w:t>Large accelerated filer</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x</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Accelerated filer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shd w:fill="FFFFFF" w:val="clear"/>
            <w:vAlign w:val="center"/>
          </w:tcPr>
          <w:p>
            <w:pPr>
              <w:pStyle w:val="TableContents"/>
              <w:bidi w:val="0"/>
              <w:spacing w:before="0" w:after="283"/>
              <w:jc w:val="left"/>
              <w:rPr/>
            </w:pPr>
            <w:r>
              <w:rPr/>
              <w:t> </w:t>
            </w:r>
          </w:p>
        </w:tc>
        <w:tc>
          <w:tcPr>
            <w:tcW w:w="4100" w:type="dxa"/>
            <w:gridSpan w:val="2"/>
            <w:tcBorders/>
            <w:shd w:fill="FFFFFF" w:val="clear"/>
            <w:vAlign w:val="center"/>
          </w:tcPr>
          <w:p>
            <w:pPr>
              <w:pStyle w:val="TableContents"/>
              <w:bidi w:val="0"/>
              <w:spacing w:before="0" w:after="283"/>
              <w:jc w:val="left"/>
              <w:rPr/>
            </w:pPr>
            <w:r>
              <w:rPr/>
              <w:t> </w:t>
            </w:r>
          </w:p>
        </w:tc>
        <w:tc>
          <w:tcPr>
            <w:tcW w:w="2285" w:type="dxa"/>
            <w:gridSpan w:val="2"/>
            <w:tcBorders/>
            <w:shd w:fill="FFFFFF" w:val="clear"/>
            <w:vAlign w:val="center"/>
          </w:tcPr>
          <w:p>
            <w:pPr>
              <w:pStyle w:val="TableContents"/>
              <w:bidi w:val="0"/>
              <w:spacing w:before="0" w:after="283"/>
              <w:jc w:val="left"/>
              <w:rPr/>
            </w:pPr>
            <w:r>
              <w:rPr/>
              <w:t> </w:t>
            </w:r>
          </w:p>
        </w:tc>
        <w:tc>
          <w:tcPr>
            <w:tcW w:w="275" w:type="dxa"/>
            <w:gridSpan w:val="2"/>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sz w:val="20"/>
              </w:rPr>
            </w:pPr>
            <w:r>
              <w:rPr>
                <w:sz w:val="20"/>
              </w:rPr>
              <w:t>Non-accelerated filer</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rFonts w:ascii="Wingdings" w:hAnsi="Wingdings"/>
                <w:sz w:val="20"/>
              </w:rPr>
              <w:t>o</w:t>
            </w:r>
            <w:r>
              <w:rPr/>
              <w:t>  </w:t>
            </w:r>
            <w:r>
              <w:rPr>
                <w:sz w:val="20"/>
              </w:rPr>
              <w:t>(Do not check if a smaller reporting company)</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Smaller reporting company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Emerging growth company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hAnsi="Wingdings"/>
          <w:b w:val="false"/>
          <w:i w:val="false"/>
          <w:caps w:val="false"/>
          <w:smallCaps w:val="false"/>
          <w:sz w:val="20"/>
        </w:rPr>
        <w:t>o</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(“Registration Statement”) is being filed pursuant to the General Instruction E to Form S-8 for the purpose of registering an aggregate of 30,718,359 additional Class A ordinary shares, par value US$0.00005 per share (the “Class A Ordinary Shares”) of GDS Holdings Limited (the “Registrant”), of which 22,189,959 are reserved for issuance under the Registrant’s 2016 Equity Incentive Plan, as amended and effective on August 6, 2020 (the “2016 Plan”). These 22,189,959 additional Class A Ordinary Shares have been authorized under the 2016 Plan pursuant to its evergreen provisions. The other 8,528,400 Class A ordinary shares are represented by 1,066,050 ADSs (“Returned ADSs”) and were returned by J.P. Morgan Securities plc (the “ADS Borrower”) to the Registrant, which Returned ADSs are the remainder of 6,000,000 ADSs that the Registrant loaned to the ADS Borrower pursuant to an ADS lending agreement for sale by an affiliate of the ADS Borrower, J.P. Morgan Securities LLC, pursuant to a prospectus supplement dated May 27, 2025 to the prospectus dated May 27, 2025, which forms a part of the Registrant’s registration statement on Form F-3 (File No. 333-287594). Such Returned ADSs may be issued in settlement of awards granted under the 2016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30,718,359 additional Class A Ordinary Shares are of the same class as other securities for which registration statements on Form S-8 were filed with the Securities and Exchange Commission (the “Commission”) on November 25, 2016 (File No. 333-214800), August 12, 2020 (File No. 333-244736), February 10, 2022 (File No. 333-262615) and February 20, 2024 (File No. 333-277164) (the “Existing S-8 Registration Statements”), but were not registered under the Existing S-8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149,300,360 Class A Ordinary Shares in the capital of the Registrant were previously registered for issuance under the 2016 Plan pursuant to the Existing S-8 Registration Statements. Pursuant to the General Instruction E to Form S-8, the contents of the Existing S-8 Registration Statements are incorporated by reference into this Registration Statement, except as otherwise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2016 Plan, as amended, the total number of ordinary shares which may be issuable pursuant to awards under the 2016 Plan initially totaled 56,707,560 ordinary shares, provided, however, that the maximum number of unallocated ordinary shares which may be issuable pursuant to awards under the 2016 Plan shall be automatically increased on the first day of each fiscal year (i.e., January 1 of each calendar year) during which the Plan remains in effect to three percent (3%) of the then total issued and outstanding ordinary shares of the Registrant, if and whenever the unallocated ordinary shares which may be issuable pursuant to awards under the 2016 Plan account for less than one and half percent (1.5%) of the then total issued and outstanding Ordinary Shares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pPr>
      <w:r>
        <w:rPr>
          <w:rFonts w:ascii="Times New Roman;Times;Serif" w:hAnsi="Times New Roman;Times;Serif"/>
          <w:b w:val="false"/>
          <w:i w:val="false"/>
          <w:caps w:val="false"/>
          <w:smallCaps w:val="false"/>
          <w:sz w:val="20"/>
        </w:rPr>
        <w:t xml:space="preserve">a.  The Registrant’s registration statements on Form S-8 filed with the Commission on November 25, 2016 (File No. </w:t>
      </w:r>
      <w:hyperlink r:id="rId2">
        <w:r>
          <w:rPr>
            <w:rStyle w:val="InternetLink"/>
            <w:rFonts w:ascii="Times New Roman;Times;Serif" w:hAnsi="Times New Roman;Times;Serif"/>
            <w:b w:val="false"/>
            <w:i w:val="false"/>
            <w:caps w:val="false"/>
            <w:smallCaps w:val="false"/>
            <w:sz w:val="20"/>
          </w:rPr>
          <w:t>333-214800</w:t>
        </w:r>
      </w:hyperlink>
      <w:r>
        <w:rPr>
          <w:rFonts w:ascii="Times New Roman;Times;Serif" w:hAnsi="Times New Roman;Times;Serif"/>
          <w:b w:val="false"/>
          <w:i w:val="false"/>
          <w:caps w:val="false"/>
          <w:smallCaps w:val="false"/>
          <w:sz w:val="20"/>
        </w:rPr>
        <w:t xml:space="preserve">), August 12, 2020 (File No. </w:t>
      </w:r>
      <w:hyperlink r:id="rId3">
        <w:r>
          <w:rPr>
            <w:rStyle w:val="InternetLink"/>
            <w:rFonts w:ascii="Times New Roman;Times;Serif" w:hAnsi="Times New Roman;Times;Serif"/>
            <w:b w:val="false"/>
            <w:i w:val="false"/>
            <w:caps w:val="false"/>
            <w:smallCaps w:val="false"/>
            <w:sz w:val="20"/>
          </w:rPr>
          <w:t>333-244736</w:t>
        </w:r>
      </w:hyperlink>
      <w:r>
        <w:rPr>
          <w:rFonts w:ascii="Times New Roman;Times;Serif" w:hAnsi="Times New Roman;Times;Serif"/>
          <w:b w:val="false"/>
          <w:i w:val="false"/>
          <w:caps w:val="false"/>
          <w:smallCaps w:val="false"/>
          <w:sz w:val="20"/>
        </w:rPr>
        <w:t xml:space="preserve">), February 10, 2022 (File No. </w:t>
      </w:r>
      <w:hyperlink r:id="rId4">
        <w:r>
          <w:rPr>
            <w:rStyle w:val="InternetLink"/>
            <w:rFonts w:ascii="Times New Roman;Times;Serif" w:hAnsi="Times New Roman;Times;Serif"/>
            <w:b w:val="false"/>
            <w:i w:val="false"/>
            <w:caps w:val="false"/>
            <w:smallCaps w:val="false"/>
            <w:sz w:val="20"/>
          </w:rPr>
          <w:t>333-262615</w:t>
        </w:r>
      </w:hyperlink>
      <w:r>
        <w:rPr>
          <w:rFonts w:ascii="Times New Roman;Times;Serif" w:hAnsi="Times New Roman;Times;Serif"/>
          <w:b w:val="false"/>
          <w:i w:val="false"/>
          <w:caps w:val="false"/>
          <w:smallCaps w:val="false"/>
          <w:sz w:val="20"/>
        </w:rPr>
        <w:t xml:space="preserve">) and February 20, 2024 (File No. </w:t>
      </w:r>
      <w:hyperlink r:id="rId5">
        <w:r>
          <w:rPr>
            <w:rStyle w:val="InternetLink"/>
            <w:rFonts w:ascii="Times New Roman;Times;Serif" w:hAnsi="Times New Roman;Times;Serif"/>
            <w:b w:val="false"/>
            <w:i w:val="false"/>
            <w:caps w:val="false"/>
            <w:smallCaps w:val="false"/>
            <w:sz w:val="20"/>
          </w:rPr>
          <w:t>333-277164</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pPr>
      <w:r>
        <w:rPr>
          <w:rFonts w:ascii="Times New Roman;Times;Serif" w:hAnsi="Times New Roman;Times;Serif"/>
          <w:b w:val="false"/>
          <w:i w:val="false"/>
          <w:caps w:val="false"/>
          <w:smallCaps w:val="false"/>
          <w:sz w:val="20"/>
        </w:rPr>
        <w:t xml:space="preserve">b.   The Registrant’s </w:t>
      </w:r>
      <w:hyperlink r:id="rId6">
        <w:r>
          <w:rPr>
            <w:rStyle w:val="InternetLink"/>
            <w:rFonts w:ascii="Times New Roman;Times;Serif" w:hAnsi="Times New Roman;Times;Serif"/>
            <w:b w:val="false"/>
            <w:i w:val="false"/>
            <w:caps w:val="false"/>
            <w:smallCaps w:val="false"/>
            <w:sz w:val="20"/>
          </w:rPr>
          <w:t>annual report on Form 20-F for the fiscal year ended December 31, 2025, filed with the Commission on April 29, 2026</w:t>
        </w:r>
      </w:hyperlink>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pPr>
      <w:r>
        <w:rPr>
          <w:rFonts w:ascii="Times New Roman;Times;Serif" w:hAnsi="Times New Roman;Times;Serif"/>
          <w:b w:val="false"/>
          <w:i w:val="false"/>
          <w:caps w:val="false"/>
          <w:smallCaps w:val="false"/>
          <w:sz w:val="20"/>
        </w:rPr>
        <w:t xml:space="preserve">c.   The description of the Registrant’s Class A Ordinary Shares contained in its Registration Statement on </w:t>
      </w:r>
      <w:hyperlink r:id="rId7">
        <w:r>
          <w:rPr>
            <w:rStyle w:val="InternetLink"/>
            <w:rFonts w:ascii="Times New Roman;Times;Serif" w:hAnsi="Times New Roman;Times;Serif"/>
            <w:b w:val="false"/>
            <w:i w:val="false"/>
            <w:caps w:val="false"/>
            <w:smallCaps w:val="false"/>
            <w:sz w:val="20"/>
          </w:rPr>
          <w:t>Form 8-A (Registration No. 001-37925) filed with the Commission on October 20, 2016</w:t>
        </w:r>
      </w:hyperlink>
      <w:r>
        <w:rPr>
          <w:rFonts w:ascii="Times New Roman;Times;Serif" w:hAnsi="Times New Roman;Times;Serif"/>
          <w:b w:val="false"/>
          <w:i w:val="false"/>
          <w:caps w:val="false"/>
          <w:smallCaps w:val="false"/>
          <w:sz w:val="20"/>
        </w:rPr>
        <w:t xml:space="preserve"> pursuant to Section 12 of the Securities Exchange Act of 1934, as amended (the “Exchange Act”), which incorporates by reference the description of the Registrant’s Class A Ordinary Shares set forth in the Registrant’s Registration Statement on </w:t>
      </w:r>
      <w:hyperlink r:id="rId8">
        <w:r>
          <w:rPr>
            <w:rStyle w:val="InternetLink"/>
            <w:rFonts w:ascii="Times New Roman;Times;Serif" w:hAnsi="Times New Roman;Times;Serif"/>
            <w:b w:val="false"/>
            <w:i w:val="false"/>
            <w:caps w:val="false"/>
            <w:smallCaps w:val="false"/>
            <w:sz w:val="20"/>
          </w:rPr>
          <w:t>Form F-1 (Registration No. 333-213951)</w:t>
        </w:r>
      </w:hyperlink>
      <w:r>
        <w:rPr>
          <w:rFonts w:ascii="Times New Roman;Times;Serif" w:hAnsi="Times New Roman;Times;Serif"/>
          <w:b w:val="false"/>
          <w:i w:val="false"/>
          <w:caps w:val="false"/>
          <w:smallCaps w:val="false"/>
          <w:sz w:val="20"/>
        </w:rPr>
        <w:t>, as amended, originally filed with the Commission on October 4, 2016, including any amendments or reports filed for the purpose of updating such description.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on the accompanying Exhibit Index are filed as a part of, or incorporated by reference into, this Registration Statement. (See Exhibit Index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Amended and Restated Memorandum of the Registrant (incorporated by reference to Exhibit 3.1 to the Registrant’s current report on Form 6-K for June 2023 (File No. 001-37925) furnished to the Securities and Exchange Commission on June 5, 2023)</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Amended and Restated Articles of Association of the Registrant (incorporated by reference to Exhibit 3.1 to the Registrant’s current report on Form 6-K for March 2026 (File No. 001-37925) furnished to the Securities and Exchange Commission on March 10, 2026)</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18285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618285d1_ex5-1.htm">
              <w:r>
                <w:rPr>
                  <w:rStyle w:val="InternetLink"/>
                  <w:rFonts w:ascii="Times New Roman;Times;Serif" w:hAnsi="Times New Roman;Times;Serif"/>
                  <w:sz w:val="20"/>
                </w:rPr>
                <w:t>Opinion of Conyers Dill &amp; Pearman </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GDS Holdings Limited 2016 Equity Incentive Plan (as amended on August 6, 2020) (incorporated by reference to Exhibit 4.30 to the Registrant’s annual report on Form 20-F for the fiscal year ended December 31, 2020 (File No. 001-37925) filed with the Securities and Exchange Commission on April 12, 2021)</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18285d1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618285d1_ex5-1.htm">
              <w:r>
                <w:rPr>
                  <w:rStyle w:val="InternetLink"/>
                  <w:rFonts w:ascii="Times New Roman;Times;Serif" w:hAnsi="Times New Roman;Times;Serif"/>
                  <w:sz w:val="20"/>
                </w:rPr>
                <w:t>Consent of Conyers Dill &amp; Pearman (included in Exhibit 5.1)</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18285d1_ex23-2.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618285d1_ex23-2.htm">
              <w:r>
                <w:rPr>
                  <w:rStyle w:val="InternetLink"/>
                  <w:rFonts w:ascii="Times New Roman;Times;Serif" w:hAnsi="Times New Roman;Times;Serif"/>
                  <w:sz w:val="20"/>
                </w:rPr>
                <w:t xml:space="preserve">Consent of KPMG Huazhen LLP </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Powers of Attorney (included on the signature page in Part II of this Registration Statement)</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18285d1_ex-filingfees.htm">
              <w:r>
                <w:rPr>
                  <w:rStyle w:val="InternetLink"/>
                  <w:rFonts w:ascii="Times New Roman;Times;Serif" w:hAnsi="Times New Roman;Times;Serif"/>
                  <w:sz w:val="20"/>
                </w:rPr>
                <w:t>107*</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618285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Hong Kong, China on June 18, 2026.</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20"/>
        <w:gridCol w:w="3635"/>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Wei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Wei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does hereby constitute and appoint William Wei Huang and Daniel Newman,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indicated and on June 18, 2026.</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880"/>
        <w:gridCol w:w="60"/>
        <w:gridCol w:w="3635"/>
      </w:tblGrid>
      <w:tr>
        <w:trPr/>
        <w:tc>
          <w:tcPr>
            <w:tcW w:w="188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Signature</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Capacity</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Wei Huang</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and Chief Executive Officer</w:t>
            </w:r>
          </w:p>
        </w:tc>
      </w:tr>
      <w:tr>
        <w:trPr/>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Wei Huang</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Newman</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Newman</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Sio Tat Hiang</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Vice-chairman</w:t>
            </w:r>
          </w:p>
        </w:tc>
      </w:tr>
      <w:tr>
        <w:trPr/>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Sio Tat Hiang</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Satoshi Okada</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80" w:type="dxa"/>
            <w:tcBorders/>
            <w:vAlign w:val="center"/>
          </w:tcPr>
          <w:p>
            <w:pPr>
              <w:pStyle w:val="TableContents"/>
              <w:bidi w:val="0"/>
              <w:spacing w:before="0" w:after="283"/>
              <w:jc w:val="center"/>
              <w:rPr/>
            </w:pPr>
            <w:r>
              <w:rPr/>
              <w:t>Satoshi Okada</w:t>
            </w:r>
          </w:p>
        </w:tc>
        <w:tc>
          <w:tcPr>
            <w:tcW w:w="60"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28" w:type="dxa"/>
          <w:right w:w="0" w:type="dxa"/>
        </w:tblCellMar>
      </w:tblPr>
      <w:tblGrid>
        <w:gridCol w:w="2060"/>
        <w:gridCol w:w="60"/>
        <w:gridCol w:w="1745"/>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Bruno Lopez</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Bruno Lopez</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pPr>
            <w:r>
              <w:rPr/>
              <w:t>/s/ Liu Chee Ming</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060" w:type="dxa"/>
            <w:tcBorders/>
            <w:tcMar>
              <w:bottom w:w="0" w:type="dxa"/>
            </w:tcMar>
            <w:vAlign w:val="center"/>
          </w:tcPr>
          <w:p>
            <w:pPr>
              <w:pStyle w:val="TableContents"/>
              <w:bidi w:val="0"/>
              <w:spacing w:before="0" w:after="283"/>
              <w:jc w:val="center"/>
              <w:rPr/>
            </w:pPr>
            <w:r>
              <w:rPr/>
              <w:t>Liu Chee Ming</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pPr>
            <w:r>
              <w:rPr/>
              <w:t>/s/ Hua (Kathy) Chen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60" w:type="dxa"/>
            <w:tcBorders/>
            <w:tcMar>
              <w:bottom w:w="0" w:type="dxa"/>
            </w:tcMar>
            <w:vAlign w:val="center"/>
          </w:tcPr>
          <w:p>
            <w:pPr>
              <w:pStyle w:val="TableContents"/>
              <w:bidi w:val="0"/>
              <w:spacing w:before="0" w:after="283"/>
              <w:jc w:val="center"/>
              <w:rPr/>
            </w:pPr>
            <w:r>
              <w:rPr/>
              <w:t>Hua (Kathy) Chen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Bin Yu</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Bin Yu</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Zulkifli Baharudin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Zulkifli Baharudin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Chang Sun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Chang Sun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Gary J. Wojtaszek</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Gary J. Wojtaszek</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Judy Qing Ye</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Judy Qing Ye</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GDS Holdings Limited has signed this registration statement or amendment thereto in New York, New York on June 18, 2026.</w:t>
      </w:r>
    </w:p>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60"/>
        <w:gridCol w:w="755"/>
        <w:gridCol w:w="1287"/>
        <w:gridCol w:w="4156"/>
      </w:tblGrid>
      <w:tr>
        <w:trPr/>
        <w:tc>
          <w:tcPr>
            <w:tcW w:w="60" w:type="dxa"/>
            <w:tcBorders/>
            <w:vAlign w:val="center"/>
          </w:tcPr>
          <w:p>
            <w:pPr>
              <w:pStyle w:val="TableContents"/>
              <w:bidi w:val="0"/>
              <w:spacing w:before="0" w:after="283"/>
              <w:jc w:val="left"/>
              <w:rPr/>
            </w:pPr>
            <w:r>
              <w:rPr/>
              <w:t> </w:t>
            </w:r>
          </w:p>
        </w:tc>
        <w:tc>
          <w:tcPr>
            <w:tcW w:w="619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COGENCY GLOBAL INC. – Authorized Representative in the United States</w:t>
            </w:r>
          </w:p>
        </w:tc>
      </w:tr>
      <w:tr>
        <w:trPr/>
        <w:tc>
          <w:tcPr>
            <w:tcW w:w="60" w:type="dxa"/>
            <w:tcBorders/>
            <w:vAlign w:val="center"/>
          </w:tcPr>
          <w:p>
            <w:pPr>
              <w:pStyle w:val="TableContents"/>
              <w:bidi w:val="0"/>
              <w:spacing w:before="0" w:after="283"/>
              <w:jc w:val="left"/>
              <w:rPr/>
            </w:pPr>
            <w:r>
              <w:rPr/>
              <w:t> </w:t>
            </w:r>
          </w:p>
        </w:tc>
        <w:tc>
          <w:tcPr>
            <w:tcW w:w="619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4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544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Cogency Global Inc.</w:t>
            </w:r>
          </w:p>
        </w:tc>
      </w:tr>
      <w:tr>
        <w:trPr/>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r>
      <w:tr>
        <w:trPr/>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3" w:name="tm2618285d1_ex5-1.htm"/>
      <w:bookmarkStart w:id="4" w:name="kstm2618285d1_ex51"/>
      <w:bookmarkEnd w:id="3"/>
      <w:bookmarkEnd w:id="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jc w:val="left"/>
        <w:rPr>
          <w:caps w:val="false"/>
          <w:smallCaps w:val="false"/>
        </w:rPr>
      </w:pPr>
      <w:r>
        <w:rPr>
          <w:caps w:val="false"/>
          <w:smallCaps w:val="false"/>
        </w:rPr>
        <w:t> </w:t>
      </w:r>
    </w:p>
    <w:tbl>
      <w:tblPr>
        <w:tblW w:w="7189" w:type="dxa"/>
        <w:jc w:val="left"/>
        <w:tblInd w:w="0" w:type="dxa"/>
        <w:tblLayout w:type="fixed"/>
        <w:tblCellMar>
          <w:top w:w="0" w:type="dxa"/>
          <w:left w:w="0" w:type="dxa"/>
          <w:bottom w:w="0" w:type="dxa"/>
          <w:right w:w="0" w:type="dxa"/>
        </w:tblCellMar>
      </w:tblPr>
      <w:tblGrid>
        <w:gridCol w:w="4004"/>
        <w:gridCol w:w="3185"/>
      </w:tblGrid>
      <w:tr>
        <w:trPr/>
        <w:tc>
          <w:tcPr>
            <w:tcW w:w="4004"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283"/>
              <w:jc w:val="left"/>
              <w:rPr/>
            </w:pPr>
            <w:r>
              <w:rPr/>
              <w:drawing>
                <wp:inline distT="0" distB="0" distL="0" distR="0">
                  <wp:extent cx="2533015" cy="475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2533015" cy="475615"/>
                          </a:xfrm>
                          <a:prstGeom prst="rect">
                            <a:avLst/>
                          </a:prstGeom>
                        </pic:spPr>
                      </pic:pic>
                    </a:graphicData>
                  </a:graphic>
                </wp:inline>
              </w:drawing>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 DILL &amp; PEARMAN</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Exchange Square</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Connaught Place</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+852 2524 7106 | F +852 2845 9268</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004"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conyers.com</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823648/111878919</w:t>
        <w:br/>
        <w:t>852 2842 9530</w:t>
        <w:br/>
        <w:t>Richard.Hall@conyers.com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Cricket Square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Hutchins Drive, P.O. Box 2681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rPr>
        <w:t>GDS Holdings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special Cayman Islands legal counsel to the Company in connection with a registration statement on Form S-8 filed by the Company with the United States Securities and Exchange Commission (the “Commission”) on or about the date hereof (the “Registration </w:t>
      </w: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 The Registration Statement relates to the registration of an aggregate of 30,718,359 additional Class A ordinary shares par value US$0.00005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of the Company of which (i) 22,189,529 Class A Ordinary Shares (the “</w:t>
      </w:r>
      <w:r>
        <w:rPr>
          <w:rFonts w:ascii="Times New Roman;Times;Serif" w:hAnsi="Times New Roman;Times;Serif"/>
          <w:b/>
          <w:i w:val="false"/>
          <w:caps w:val="false"/>
          <w:smallCaps w:val="false"/>
          <w:sz w:val="20"/>
        </w:rPr>
        <w:t>New Plan Shares</w:t>
      </w:r>
      <w:r>
        <w:rPr>
          <w:rFonts w:ascii="Times New Roman;Times;Serif" w:hAnsi="Times New Roman;Times;Serif"/>
          <w:b w:val="false"/>
          <w:i w:val="false"/>
          <w:caps w:val="false"/>
          <w:smallCaps w:val="false"/>
          <w:sz w:val="20"/>
        </w:rPr>
        <w:t>”) are reserved for issue pursuant to the Company’s 2016 Equity Incentive Plan, as amended (the “</w:t>
      </w:r>
      <w:r>
        <w:rPr>
          <w:rFonts w:ascii="Times New Roman;Times;Serif" w:hAnsi="Times New Roman;Times;Serif"/>
          <w:b/>
          <w:i w:val="false"/>
          <w:caps w:val="false"/>
          <w:smallCaps w:val="false"/>
          <w:sz w:val="20"/>
        </w:rPr>
        <w:t>2016 Plan</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 and (ii) 8,528,400 Class A Ordinary Shares (the “</w:t>
      </w:r>
      <w:r>
        <w:rPr>
          <w:rFonts w:ascii="Times New Roman;Times;Serif" w:hAnsi="Times New Roman;Times;Serif"/>
          <w:b/>
          <w:i w:val="false"/>
          <w:caps w:val="false"/>
          <w:smallCaps w:val="false"/>
          <w:sz w:val="20"/>
        </w:rPr>
        <w:t>Existing Plan Shares</w:t>
      </w:r>
      <w:r>
        <w:rPr>
          <w:rFonts w:ascii="Times New Roman;Times;Serif" w:hAnsi="Times New Roman;Times;Serif"/>
          <w:b w:val="false"/>
          <w:i w:val="false"/>
          <w:caps w:val="false"/>
          <w:smallCaps w:val="false"/>
          <w:sz w:val="20"/>
        </w:rPr>
        <w:t>”) are represented by1,066,050 ADSs (“</w:t>
      </w:r>
      <w:r>
        <w:rPr>
          <w:rFonts w:ascii="Times New Roman;Times;Serif" w:hAnsi="Times New Roman;Times;Serif"/>
          <w:b/>
          <w:i w:val="false"/>
          <w:caps w:val="false"/>
          <w:smallCaps w:val="false"/>
          <w:sz w:val="20"/>
        </w:rPr>
        <w:t>Returned ADSs</w:t>
      </w:r>
      <w:r>
        <w:rPr>
          <w:rFonts w:ascii="Times New Roman;Times;Serif" w:hAnsi="Times New Roman;Times;Serif"/>
          <w:b w:val="false"/>
          <w:i w:val="false"/>
          <w:caps w:val="false"/>
          <w:smallCaps w:val="false"/>
          <w:sz w:val="20"/>
        </w:rPr>
        <w:t>”) and which may be issued in settlement of awards granted under the 2016 Plan (the New Plan Shares and the Existing Plan Shares collectively the “</w:t>
      </w:r>
      <w:r>
        <w:rPr>
          <w:rFonts w:ascii="Times New Roman;Times;Serif" w:hAnsi="Times New Roman;Times;Serif"/>
          <w:b/>
          <w:i w:val="false"/>
          <w:caps w:val="false"/>
          <w:smallCaps w:val="false"/>
          <w:sz w:val="20"/>
        </w:rPr>
        <w:t>Plan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w:t>
            </w:r>
          </w:p>
        </w:tc>
        <w:tc>
          <w:tcPr>
            <w:tcW w:w="240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following documents:</w:t>
      </w:r>
    </w:p>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32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32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2016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reviewed: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Memorandum and Articles of Association of the Company, each certified by the Secretary of the Company on 18 June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minutes of a meeting of the members of the Company held on 6 August 2020 (the “</w:t>
            </w:r>
            <w:r>
              <w:rPr>
                <w:rFonts w:ascii="Times New Roman;Times;Serif" w:hAnsi="Times New Roman;Times;Serif"/>
                <w:b/>
                <w:i w:val="false"/>
                <w:caps w:val="false"/>
                <w:smallCaps w:val="false"/>
                <w:sz w:val="20"/>
              </w:rPr>
              <w:t>Member Resolutions</w:t>
            </w:r>
            <w:r>
              <w:rPr>
                <w:rFonts w:ascii="Times New Roman;Times;Serif" w:hAnsi="Times New Roman;Times;Serif"/>
                <w:b w:val="false"/>
                <w:i w:val="false"/>
                <w:caps w:val="false"/>
                <w:smallCaps w:val="false"/>
                <w:sz w:val="20"/>
              </w:rPr>
              <w:t>”) and a copy of an extract of the minutes of a meeting of its directors held on 16 March 2026 and 19 May 2026 (the “</w:t>
            </w:r>
            <w:r>
              <w:rPr>
                <w:rFonts w:ascii="Times New Roman;Times;Serif" w:hAnsi="Times New Roman;Times;Serif"/>
                <w:b/>
                <w:i w:val="false"/>
                <w:caps w:val="false"/>
                <w:smallCaps w:val="false"/>
                <w:sz w:val="20"/>
              </w:rPr>
              <w:t>Director Resolutions</w:t>
            </w:r>
            <w:r>
              <w:rPr>
                <w:rFonts w:ascii="Times New Roman;Times;Serif" w:hAnsi="Times New Roman;Times;Serif"/>
                <w:b w:val="false"/>
                <w:i w:val="false"/>
                <w:caps w:val="false"/>
                <w:smallCaps w:val="false"/>
                <w:sz w:val="20"/>
              </w:rPr>
              <w:t>” and together with the Member Resolutions,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Partners: Piers J. Alexander, Crystal C. Au-Yeung, Christopher W. H. Bickley, Beverly Y. Cheung, Anna W. T. Chong, Angie Y. Y. Chu, Alexander T. Doyle, Vivien C. S. Fung, Richard J. Hall, Norman Hau, Wynne Lau, Ryan A. McConvey, Teresa F. Tsai, Flora K. Y. Wong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Consultant: David M. Lamb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16"/>
        </w:rPr>
      </w:pPr>
      <w:r>
        <w:rPr>
          <w:rFonts w:ascii="Times New Roman;Times;Serif" w:hAnsi="Times New Roman;Times;Serif"/>
          <w:b/>
          <w:i w:val="false"/>
          <w:caps/>
          <w:sz w:val="16"/>
        </w:rPr>
        <w:t>BERMUDA | BRITISH VIRGIN ISLANDS | CAYMAN ISLANDS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register of members of the Company certified by the assistant secretary of the Company on 18 June 2026 (the “</w:t>
            </w:r>
            <w:r>
              <w:rPr>
                <w:rFonts w:ascii="Times New Roman;Times;Serif" w:hAnsi="Times New Roman;Times;Serif"/>
                <w:b/>
                <w:i w:val="false"/>
                <w:caps w:val="false"/>
                <w:smallCaps w:val="false"/>
                <w:sz w:val="20"/>
              </w:rPr>
              <w:t>Certified RoM</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 Certificate of Good Standing issued by the Registrar of Companies in relation to the Company on 18 June 2026 (the “</w:t>
            </w:r>
            <w:r>
              <w:rPr>
                <w:rFonts w:ascii="Times New Roman;Times;Serif" w:hAnsi="Times New Roman;Times;Serif"/>
                <w:b/>
                <w:i w:val="false"/>
                <w:caps w:val="false"/>
                <w:smallCaps w:val="false"/>
                <w:sz w:val="20"/>
              </w:rPr>
              <w:t>Certificate Date</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documents and made such enquiries as to questions of law as we have deemed necessary in order to render the opinion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2.</w:t>
            </w:r>
          </w:p>
        </w:tc>
        <w:tc>
          <w:tcPr>
            <w:tcW w:w="14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and authenticity of all signatures and the conformity to the originals of all copies (whether or not certified) examined by us and the authenticity and completeness of the originals from which such copies were taken;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where a document has been examined by us in draft form, it will be or has been executed in the form of that draft, and where a number of drafts of a document have been examined by us all changes thereto have been marked or otherwise drawn to our attention;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and completeness of all factual representations made in the the Registration Statement, the 2016 Plan and the other documents reviewed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Director resolutions are a true and fair extract of the matters resolved at the meeting of Directors held on 16 March 2026 and 19 May 2026 and that the Resolutions were passed at one or more duly convened, constituted and quorate meetings or by unanimous written resolutions, remain in full force and effect and have not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upon issue of any Plan Shares by the Company the Company will receive consideration for the full issue price thereof which shall be equal to at least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and binding effect under the laws of the United States of America of the Registration Statement and that the Registration Statement will be duly filed with the Commission and have become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on the date of issuance of any Plan Shares, the Company will have sufficient authorised but unissued Class A ordinary shares par value US$0.00005 per share in its share capital;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on the date of issuing any award or Plan Shares under the 2016 Plan the Company is and after issuing any award or Plan Shares under the 2016 Plan the Company will be able to pay its liabilities as they become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conyers.com |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3.</w:t>
            </w:r>
          </w:p>
        </w:tc>
        <w:tc>
          <w:tcPr>
            <w:tcW w:w="173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enforceability of any provision of the 2016 Plan which purports to fetter the statutory powers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the issuance of Plan Shares pursuant to any provision of the 2016 Plan that purports to obligate the Company to issue Plan Shares following the commencement of a winding up or liquidation.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your benefit and use in connection with the matter described herein and is not to be relied upon by any other person, firm or entity or in respect of any other matter.</w:t>
            </w:r>
          </w:p>
        </w:tc>
      </w:tr>
    </w:tbl>
    <w:p>
      <w:pPr>
        <w:pStyle w:val="TextBody"/>
        <w:bidi w:val="0"/>
        <w:spacing w:before="0" w:after="0"/>
        <w:ind w:left="0" w:right="0" w:hanging="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7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4.</w:t>
            </w:r>
          </w:p>
        </w:tc>
        <w:tc>
          <w:tcPr>
            <w:tcW w:w="87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duly incorporated and existing under the laws of the Cayman Islands and, based on the Certificate of Good Standing, is in good standing as at the Certificate Date. Pursuant to the Companies Act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 company is deemed to be in good standing if all fees and penalties under the Act have been paid and the Registrar of Companies has no knowledge that the company is in default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Certified RoM, the Existing Plan Shares have been validly issued, fully paid and non-assessable (which term when used herein means that no further sums are required to be paid by the holders thereof in connection with the issue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issued and paid for in accordance with the 2016 Plan, the New Plan Shares will be validly issued, fully paid and non-assessable (which term when used herein means that no further sums are required to be paid by the holders thereof in connection with the issue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giving this consent, we do not hereby admit that we are experts within the meaning of Section 11 of the Securities Act or that we come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Conyers Dill &amp; Pearman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 Dill &amp; Pearman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conyers.com | 3</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5" w:name="tm2618285d1_ex23-2.htm"/>
      <w:bookmarkStart w:id="6" w:name="kstm2618285d1_ex232"/>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April 29, 2026, with respect to the consolidated financial statements of GDS Holdings Limited, and the effectiveness of internal control over financial reporting,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Huazhen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18285d1_ex-filingfees.htm"/>
      <w:bookmarkStart w:id="8" w:name="kstm2618285d1_exfilingfees"/>
      <w:bookmarkStart w:id="9" w:name="tm2618285d1_ex-filingfees.htm"/>
      <w:bookmarkStart w:id="10" w:name="kstm2618285d1_exfilingfees"/>
      <w:bookmarkEnd w:id="9"/>
      <w:bookmarkEnd w:id="10"/>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GDS Holdings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2"/>
        <w:gridCol w:w="992"/>
        <w:gridCol w:w="1286"/>
        <w:gridCol w:w="1195"/>
        <w:gridCol w:w="1191"/>
        <w:gridCol w:w="1806"/>
        <w:gridCol w:w="1126"/>
        <w:gridCol w:w="141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5"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2" w:type="dxa"/>
            <w:tcBorders/>
            <w:shd w:fill="E7E7E2" w:val="clear"/>
            <w:vAlign w:val="center"/>
          </w:tcPr>
          <w:p>
            <w:pPr>
              <w:pStyle w:val="TableContents"/>
              <w:bidi w:val="0"/>
              <w:spacing w:before="0" w:after="283"/>
              <w:jc w:val="left"/>
              <w:rPr/>
            </w:pPr>
            <w:r>
              <w:rPr/>
              <w:t xml:space="preserve">Equity </w:t>
            </w:r>
          </w:p>
        </w:tc>
        <w:tc>
          <w:tcPr>
            <w:tcW w:w="992" w:type="dxa"/>
            <w:tcBorders/>
            <w:shd w:fill="E7E7E2" w:val="clear"/>
            <w:vAlign w:val="center"/>
          </w:tcPr>
          <w:p>
            <w:pPr>
              <w:pStyle w:val="TableContents"/>
              <w:bidi w:val="0"/>
              <w:spacing w:before="0" w:after="283"/>
              <w:jc w:val="left"/>
              <w:rPr/>
            </w:pPr>
            <w:r>
              <w:rPr/>
              <w:t xml:space="preserve">Class A ordinary shares, par value US$0.00005 per share </w:t>
            </w:r>
          </w:p>
        </w:tc>
        <w:tc>
          <w:tcPr>
            <w:tcW w:w="1286" w:type="dxa"/>
            <w:tcBorders/>
            <w:shd w:fill="E7E7E2" w:val="clear"/>
            <w:vAlign w:val="center"/>
          </w:tcPr>
          <w:p>
            <w:pPr>
              <w:pStyle w:val="TableContents"/>
              <w:bidi w:val="0"/>
              <w:spacing w:before="0" w:after="283"/>
              <w:jc w:val="center"/>
              <w:rPr/>
            </w:pPr>
            <w:r>
              <w:rPr/>
              <w:t xml:space="preserve">Other </w:t>
            </w:r>
          </w:p>
        </w:tc>
        <w:tc>
          <w:tcPr>
            <w:tcW w:w="1195" w:type="dxa"/>
            <w:tcBorders/>
            <w:shd w:fill="E7E7E2" w:val="clear"/>
            <w:vAlign w:val="center"/>
          </w:tcPr>
          <w:p>
            <w:pPr>
              <w:pStyle w:val="TableContents"/>
              <w:bidi w:val="0"/>
              <w:spacing w:before="0" w:after="283"/>
              <w:jc w:val="right"/>
              <w:rPr/>
            </w:pPr>
            <w:r>
              <w:rPr/>
              <w:t xml:space="preserve">30,718,359 </w:t>
            </w:r>
          </w:p>
        </w:tc>
        <w:tc>
          <w:tcPr>
            <w:tcW w:w="1191" w:type="dxa"/>
            <w:tcBorders/>
            <w:shd w:fill="E7E7E2" w:val="clear"/>
            <w:vAlign w:val="center"/>
          </w:tcPr>
          <w:p>
            <w:pPr>
              <w:pStyle w:val="TableContents"/>
              <w:bidi w:val="0"/>
              <w:spacing w:before="0" w:after="283"/>
              <w:jc w:val="right"/>
              <w:rPr/>
            </w:pPr>
            <w:r>
              <w:rPr/>
              <w:t xml:space="preserve">$ 4.16 </w:t>
            </w:r>
          </w:p>
        </w:tc>
        <w:tc>
          <w:tcPr>
            <w:tcW w:w="1806" w:type="dxa"/>
            <w:tcBorders/>
            <w:shd w:fill="E7E7E2" w:val="clear"/>
            <w:vAlign w:val="center"/>
          </w:tcPr>
          <w:p>
            <w:pPr>
              <w:pStyle w:val="TableContents"/>
              <w:bidi w:val="0"/>
              <w:spacing w:before="0" w:after="283"/>
              <w:jc w:val="right"/>
              <w:rPr/>
            </w:pPr>
            <w:r>
              <w:rPr/>
              <w:t xml:space="preserve">$ 127,788,373.44 </w:t>
            </w:r>
          </w:p>
        </w:tc>
        <w:tc>
          <w:tcPr>
            <w:tcW w:w="1126" w:type="dxa"/>
            <w:tcBorders/>
            <w:shd w:fill="E7E7E2" w:val="clear"/>
            <w:vAlign w:val="center"/>
          </w:tcPr>
          <w:p>
            <w:pPr>
              <w:pStyle w:val="TableContents"/>
              <w:bidi w:val="0"/>
              <w:spacing w:before="0" w:after="283"/>
              <w:jc w:val="right"/>
              <w:rPr/>
            </w:pPr>
            <w:r>
              <w:rPr/>
              <w:t xml:space="preserve">0.0001381 </w:t>
            </w:r>
          </w:p>
        </w:tc>
        <w:tc>
          <w:tcPr>
            <w:tcW w:w="1416" w:type="dxa"/>
            <w:tcBorders/>
            <w:shd w:fill="E7E7E2" w:val="clear"/>
            <w:vAlign w:val="center"/>
          </w:tcPr>
          <w:p>
            <w:pPr>
              <w:pStyle w:val="TableContents"/>
              <w:bidi w:val="0"/>
              <w:spacing w:before="0" w:after="283"/>
              <w:jc w:val="right"/>
              <w:rPr/>
            </w:pPr>
            <w:r>
              <w:rPr/>
              <w:t xml:space="preserve">$ 17,647.57 </w:t>
            </w:r>
          </w:p>
        </w:tc>
      </w:tr>
      <w:tr>
        <w:trPr/>
        <w:tc>
          <w:tcPr>
            <w:tcW w:w="4666" w:type="dxa"/>
            <w:gridSpan w:val="5"/>
            <w:tcBorders/>
            <w:vAlign w:val="center"/>
          </w:tcPr>
          <w:p>
            <w:pPr>
              <w:pStyle w:val="TableContents"/>
              <w:bidi w:val="0"/>
              <w:spacing w:before="0" w:after="0"/>
              <w:ind w:left="0" w:right="0" w:hanging="0"/>
              <w:jc w:val="right"/>
              <w:rPr/>
            </w:pPr>
            <w:r>
              <w:rPr/>
              <w:t>Total Offering Amounts:</w:t>
            </w:r>
          </w:p>
        </w:tc>
        <w:tc>
          <w:tcPr>
            <w:tcW w:w="119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0"/>
              <w:ind w:left="0" w:right="0" w:hanging="0"/>
              <w:jc w:val="right"/>
              <w:rPr/>
            </w:pPr>
            <w:bookmarkStart w:id="11" w:name="MaxAggtOfferingPrice"/>
            <w:bookmarkEnd w:id="11"/>
            <w:r>
              <w:rPr/>
              <w:t xml:space="preserve">$ 127,788,373.44 </w:t>
            </w:r>
          </w:p>
        </w:tc>
        <w:tc>
          <w:tcPr>
            <w:tcW w:w="1126" w:type="dxa"/>
            <w:tcBorders/>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$ 17,647.57 </w:t>
            </w:r>
          </w:p>
        </w:tc>
      </w:tr>
      <w:tr>
        <w:trPr/>
        <w:tc>
          <w:tcPr>
            <w:tcW w:w="4666" w:type="dxa"/>
            <w:gridSpan w:val="5"/>
            <w:tcBorders/>
            <w:vAlign w:val="center"/>
          </w:tcPr>
          <w:p>
            <w:pPr>
              <w:pStyle w:val="TableContents"/>
              <w:bidi w:val="0"/>
              <w:spacing w:before="0" w:after="0"/>
              <w:ind w:left="0" w:right="0" w:hanging="0"/>
              <w:jc w:val="right"/>
              <w:rPr/>
            </w:pPr>
            <w:r>
              <w:rPr/>
              <w:t xml:space="preserve">Total Fee Offsets: </w:t>
            </w:r>
          </w:p>
        </w:tc>
        <w:tc>
          <w:tcPr>
            <w:tcW w:w="119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66" w:type="dxa"/>
            <w:gridSpan w:val="5"/>
            <w:tcBorders/>
            <w:vAlign w:val="center"/>
          </w:tcPr>
          <w:p>
            <w:pPr>
              <w:pStyle w:val="TableContents"/>
              <w:bidi w:val="0"/>
              <w:spacing w:before="0" w:after="0"/>
              <w:ind w:left="0" w:right="0" w:hanging="0"/>
              <w:jc w:val="right"/>
              <w:rPr/>
            </w:pPr>
            <w:r>
              <w:rPr/>
              <w:t xml:space="preserve">Net Fee Due: </w:t>
            </w:r>
          </w:p>
        </w:tc>
        <w:tc>
          <w:tcPr>
            <w:tcW w:w="119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0"/>
              <w:ind w:left="0" w:right="0" w:hanging="0"/>
              <w:jc w:val="right"/>
              <w:rPr/>
            </w:pPr>
            <w:bookmarkStart w:id="14" w:name="NetFeeAmt"/>
            <w:bookmarkEnd w:id="14"/>
            <w:r>
              <w:rPr/>
              <w:t xml:space="preserve">$ 17,647.57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3"/>
        <w:gridCol w:w="8715"/>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Pursuant to Rule 416(a) under the Securities Act of 1933, as amended, the registration statement of which this exhibit 107 is a part includes an indeterminate number of additional Class A ordinary shares, par value US$0.00005 per share (the "Class A Ordinary Shares") of GDS Holdings Limited (the "Registrant"), which may be offered and issued under the Registrant's 2016 Equity Incentive Plan, as amended and effective on August 6, 2020 (the "2016 Plan") to prevent dilution from stock splits, stock dividends or similar transactions. These Class A Ordinary Shares may be represented by the Registrant's American depositary shares ("ADSs"), each of which represents eight Class A Ordinary Shares. ADSs issuable upon deposit of the securities registered hereby have been registered under separate registration statements on Form F-6 (Registration No. 333-214177, Registration No. 333-235363, Registration No. 333-249704 and Registration No. 333-271499). Estimated in accordance with Rule 457(c) and (h) solely for the purpose of calculating the registration fee based on the average of the high and low prices of the Registrant's ADSs as reported on the Nasdaq Global Market on June 15, 2026 divided by eight, the then Class A Ordinary Share-to-ADS ratio. An additional 30,718,359 Class A Ordinary Shares are being registered on the registration statement of which this exhibit 107 is a part to cover the additional Class A Ordinary Shares that may be issued under the 2016 Plan, as amended on August 6, 2020, which were not previously registered under the Registrant's registration statements on Form S-8, as filed with the Securities and Exchange Commission on November 25, 2016 (File No. 333-214800), August 12, 2020 (File No. 333-244736), February 10, 2022 (File No. 333-262615) and February 20, 2024 (File No. 333-277164). These additional 30,718,359 Class A Ordinary Shares include (i) 22,189,959 additional Class A ordinary shares that have been authorized under the 2016 Plan pursuant to its evergreen provisions, and (ii) 8,528,400 Class A ordinary shares represented by 1,066,050 ADSs ("Returned ADSs") that J.P. Morgan Securities plc (the "ADS Borrower") returned to the Registrant , which Returned ADSs are the remainder of 6,000,000 ADSs that the Registrant loaned to the ADS Borrower pursuant to an ADS lending agreement for sale by an affiliate of the ADS Borrower, J.P. Morgan Securities LLC, pursuant to a prospectus supplement dated May 27, 2025 to the prospectus dated May 27, 2025, which forms a part of the Registrant's registration statement on Form F-3 (File No. 333-287594). Such Returned ADSs may be issued in settlement of awards granted under the 2016 Plan. </w:t>
            </w:r>
          </w:p>
        </w:tc>
      </w:tr>
      <w:tr>
        <w:trPr/>
        <w:tc>
          <w:tcPr>
            <w:tcW w:w="1490" w:type="dxa"/>
            <w:gridSpan w:val="2"/>
            <w:tcBorders/>
            <w:vAlign w:val="center"/>
          </w:tcPr>
          <w:p>
            <w:pPr>
              <w:pStyle w:val="HorizontalLine"/>
              <w:pBdr>
                <w:bottom w:val="double" w:sz="2" w:space="0" w:color="808080"/>
              </w:pBdr>
              <w:bidi w:val="0"/>
              <w:spacing w:before="0" w:after="283"/>
              <w:jc w:val="left"/>
              <w:rPr/>
            </w:pPr>
            <w:r>
              <w:rPr/>
            </w:r>
          </w:p>
        </w:tc>
        <w:tc>
          <w:tcPr>
            <w:tcW w:w="871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125/000110465916159015/a16-22005_1s8.htm" TargetMode="External"/><Relationship Id="rId3" Type="http://schemas.openxmlformats.org/officeDocument/2006/relationships/hyperlink" Target="https://www.sec.gov/Archives/edgar/data/1526125/000110465920093457/a20-27095_1s8.htm" TargetMode="External"/><Relationship Id="rId4" Type="http://schemas.openxmlformats.org/officeDocument/2006/relationships/hyperlink" Target="https://www.sec.gov/Archives/edgar/data/1526125/000110465922017373/tm225828d1_s8.htm" TargetMode="External"/><Relationship Id="rId5" Type="http://schemas.openxmlformats.org/officeDocument/2006/relationships/hyperlink" Target="https://www.sec.gov/Archives/edgar/data/1526125/000110465924025068/tm244884d1_s8.htm" TargetMode="External"/><Relationship Id="rId6" Type="http://schemas.openxmlformats.org/officeDocument/2006/relationships/hyperlink" Target="https://www.sec.gov/ix?doc=/Archives/edgar/data/1526125/000110465926051006/gds-20251231x20f.htm" TargetMode="External"/><Relationship Id="rId7" Type="http://schemas.openxmlformats.org/officeDocument/2006/relationships/hyperlink" Target="https://www.sec.gov/Archives/edgar/data/1526125/000110465916151067/a16-11090_108a12b.htm" TargetMode="External"/><Relationship Id="rId8" Type="http://schemas.openxmlformats.org/officeDocument/2006/relationships/hyperlink" Target="https://www.sec.gov/Archives/edgar/data/1526125/000104746916015923/a2229616zf-1.htm" TargetMode="External"/><Relationship Id="rId9" Type="http://schemas.openxmlformats.org/officeDocument/2006/relationships/hyperlink" Target="https://www.sec.gov/Archives/edgar/data/1526125/000110465923067874/tm2317790d1_ex3-1.htm" TargetMode="External"/><Relationship Id="rId10" Type="http://schemas.openxmlformats.org/officeDocument/2006/relationships/hyperlink" Target="https://www.sec.gov/Archives/edgar/data/1526125/000110465923067874/tm2317790d1_ex3-1.htm" TargetMode="External"/><Relationship Id="rId11" Type="http://schemas.openxmlformats.org/officeDocument/2006/relationships/hyperlink" Target="https://www.sec.gov/Archives/edgar/data/1526125/000110465926025892/tm268340d1_ex3-1.htm" TargetMode="External"/><Relationship Id="rId12" Type="http://schemas.openxmlformats.org/officeDocument/2006/relationships/hyperlink" Target="https://www.sec.gov/Archives/edgar/data/1526125/000110465926025892/tm268340d1_ex3-1.htm" TargetMode="External"/><Relationship Id="rId13" Type="http://schemas.openxmlformats.org/officeDocument/2006/relationships/hyperlink" Target="https://www.sec.gov/Archives/edgar/data/1526125/000110465921049104/gds-20201231xex4d30.htm" TargetMode="External"/><Relationship Id="rId14" Type="http://schemas.openxmlformats.org/officeDocument/2006/relationships/hyperlink" Target="https://www.sec.gov/Archives/edgar/data/1526125/000110465921049104/gds-20201231xex4d30.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3756</Words>
  <Characters>19537</Characters>
  <CharactersWithSpaces>23348</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