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348615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 *</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GDS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79375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ordinary shares, par value $0.00005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79375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36165L108**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79375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79375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the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 :</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9" w:lineRule="exact"/>
        <w:rPr>
          <w:rFonts w:ascii="MS PGothic" w:cs="MS PGothic" w:eastAsia="MS PGothic" w:hAnsi="MS PGothic"/>
          <w:sz w:val="22"/>
          <w:szCs w:val="22"/>
          <w:color w:val="auto"/>
        </w:rPr>
      </w:pPr>
    </w:p>
    <w:p>
      <w:pPr>
        <w:ind w:right="80"/>
        <w:spacing w:after="0" w:line="244"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rFonts w:ascii="MS PGothic" w:cs="MS PGothic" w:eastAsia="MS PGothic" w:hAnsi="MS PGothic"/>
          <w:sz w:val="22"/>
          <w:szCs w:val="22"/>
          <w:color w:val="auto"/>
        </w:rPr>
      </w:pPr>
    </w:p>
    <w:p>
      <w:pPr>
        <w:ind w:right="20" w:firstLine="8"/>
        <w:spacing w:after="0" w:line="244" w:lineRule="auto"/>
        <w:tabs>
          <w:tab w:leader="none" w:pos="27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CUSIP number assigned to the Class A ordinary shares. CUSIP number 36165L108 has been assigned to the American Depositary Shares of the Issuer, each American Depositary Share representing eight (8) Class A ordinary shares, which are quoted on the Nasdaq Global Market under the symbol “GDS”.</w:t>
      </w:r>
    </w:p>
    <w:p>
      <w:pPr>
        <w:spacing w:after="0" w:line="20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149465" cy="5572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NAME OF REPORTING PERSONS</w:t>
      </w:r>
    </w:p>
    <w:p>
      <w:pPr>
        <w:ind w:left="400"/>
        <w:spacing w:after="0" w:line="232" w:lineRule="auto"/>
        <w:rPr>
          <w:sz w:val="20"/>
          <w:szCs w:val="20"/>
          <w:color w:val="auto"/>
        </w:rPr>
      </w:pPr>
      <w:r>
        <w:rPr>
          <w:rFonts w:ascii="Times New Roman" w:cs="Times New Roman" w:eastAsia="Times New Roman" w:hAnsi="Times New Roman"/>
          <w:sz w:val="22"/>
          <w:szCs w:val="22"/>
          <w:color w:val="auto"/>
        </w:rPr>
        <w:t>1</w:t>
      </w:r>
    </w:p>
    <w:p>
      <w:pPr>
        <w:ind w:left="960"/>
        <w:spacing w:after="0"/>
        <w:rPr>
          <w:sz w:val="20"/>
          <w:szCs w:val="20"/>
          <w:color w:val="auto"/>
        </w:rPr>
      </w:pPr>
      <w:r>
        <w:rPr>
          <w:rFonts w:ascii="Times New Roman" w:cs="Times New Roman" w:eastAsia="Times New Roman" w:hAnsi="Times New Roman"/>
          <w:sz w:val="18"/>
          <w:szCs w:val="18"/>
          <w:color w:val="auto"/>
        </w:rPr>
        <w:t>GIC Private Limited</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ind w:left="960" w:hanging="554"/>
        <w:spacing w:after="0" w:line="245" w:lineRule="exact"/>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ind w:left="960"/>
        <w:spacing w:after="0" w:line="207" w:lineRule="exact"/>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SEC USE ONLY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3</w:t>
      </w: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CITIZENSHIP OR PLACE OF ORGANIZATION</w:t>
      </w:r>
    </w:p>
    <w:tbl>
      <w:tblPr>
        <w:tblLayout w:type="fixed"/>
        <w:tblInd w:w="0" w:type="dxa"/>
        <w:tblCellMar>
          <w:top w:w="0" w:type="dxa"/>
          <w:left w:w="0" w:type="dxa"/>
          <w:bottom w:w="0" w:type="dxa"/>
          <w:right w:w="0" w:type="dxa"/>
        </w:tblCellMar>
      </w:tblPr>
      <w:tr>
        <w:trPr>
          <w:trHeight w:val="225"/>
        </w:trPr>
        <w:tc>
          <w:tcPr>
            <w:tcW w:w="2280" w:type="dxa"/>
            <w:vAlign w:val="bottom"/>
          </w:tcPr>
          <w:p>
            <w:pPr>
              <w:jc w:val="right"/>
              <w:ind w:right="1668"/>
              <w:spacing w:after="0" w:line="225" w:lineRule="exact"/>
              <w:rPr>
                <w:sz w:val="20"/>
                <w:szCs w:val="20"/>
                <w:color w:val="auto"/>
              </w:rPr>
            </w:pPr>
            <w:r>
              <w:rPr>
                <w:rFonts w:ascii="Times New Roman" w:cs="Times New Roman" w:eastAsia="Times New Roman" w:hAnsi="Times New Roman"/>
                <w:sz w:val="22"/>
                <w:szCs w:val="22"/>
                <w:color w:val="auto"/>
              </w:rPr>
              <w:t>4</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Republic of Singapore</w:t>
            </w:r>
          </w:p>
        </w:tc>
        <w:tc>
          <w:tcPr>
            <w:tcW w:w="90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Borders>
              <w:right w:val="single" w:sz="8" w:color="auto"/>
            </w:tcBorders>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w:t>
            </w: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22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Borders>
              <w:right w:val="single" w:sz="8" w:color="auto"/>
            </w:tcBorders>
            <w:vMerge w:val="continue"/>
          </w:tcPr>
          <w:p>
            <w:pPr>
              <w:spacing w:after="0"/>
              <w:rPr>
                <w:sz w:val="21"/>
                <w:szCs w:val="21"/>
                <w:color w:val="auto"/>
              </w:rPr>
            </w:pPr>
          </w:p>
        </w:tc>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22,184,716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80" w:type="dxa"/>
            <w:vAlign w:val="bottom"/>
            <w:tcBorders>
              <w:right w:val="single" w:sz="8" w:color="auto"/>
            </w:tcBorders>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280" w:type="dxa"/>
            <w:vAlign w:val="bottom"/>
            <w:tcBorders>
              <w:right w:val="single" w:sz="8" w:color="auto"/>
            </w:tcBorders>
            <w:vMerge w:val="continue"/>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spacing w:after="0"/>
              <w:rPr>
                <w:sz w:val="18"/>
                <w:szCs w:val="18"/>
                <w:color w:val="auto"/>
              </w:rPr>
            </w:pPr>
          </w:p>
        </w:tc>
        <w:tc>
          <w:tcPr>
            <w:tcW w:w="900" w:type="dxa"/>
            <w:vAlign w:val="bottom"/>
            <w:tcBorders>
              <w:right w:val="single" w:sz="8" w:color="auto"/>
            </w:tcBorders>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w:t>
            </w:r>
          </w:p>
        </w:tc>
        <w:tc>
          <w:tcPr>
            <w:tcW w:w="7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52,102,544 </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9"/>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9"/>
                <w:szCs w:val="19"/>
                <w:color w:val="auto"/>
              </w:rPr>
            </w:pPr>
          </w:p>
        </w:tc>
        <w:tc>
          <w:tcPr>
            <w:tcW w:w="900" w:type="dxa"/>
            <w:vAlign w:val="bottom"/>
            <w:tcBorders>
              <w:right w:val="single" w:sz="8" w:color="auto"/>
            </w:tcBorders>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rPr>
              <w:t>7</w:t>
            </w:r>
          </w:p>
        </w:tc>
        <w:tc>
          <w:tcPr>
            <w:tcW w:w="7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22,184,716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8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280" w:type="dxa"/>
            <w:vAlign w:val="bottom"/>
            <w:tcBorders>
              <w:right w:val="single" w:sz="8" w:color="auto"/>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right w:val="single" w:sz="8" w:color="auto"/>
            </w:tcBorders>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w:t>
            </w:r>
          </w:p>
        </w:tc>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22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7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28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Borders>
              <w:right w:val="single" w:sz="8" w:color="auto"/>
            </w:tcBorders>
            <w:vMerge w:val="continue"/>
          </w:tcPr>
          <w:p>
            <w:pPr>
              <w:spacing w:after="0"/>
              <w:rPr>
                <w:sz w:val="21"/>
                <w:szCs w:val="21"/>
                <w:color w:val="auto"/>
              </w:rPr>
            </w:pPr>
          </w:p>
        </w:tc>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52,102,544 </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2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ind w:left="400"/>
        <w:spacing w:after="0" w:line="232" w:lineRule="auto"/>
        <w:rPr>
          <w:sz w:val="20"/>
          <w:szCs w:val="20"/>
          <w:color w:val="auto"/>
        </w:rPr>
      </w:pPr>
      <w:r>
        <w:rPr>
          <w:rFonts w:ascii="Times New Roman" w:cs="Times New Roman" w:eastAsia="Times New Roman" w:hAnsi="Times New Roman"/>
          <w:sz w:val="22"/>
          <w:szCs w:val="22"/>
          <w:color w:val="auto"/>
        </w:rPr>
        <w:t>9</w:t>
      </w:r>
    </w:p>
    <w:p>
      <w:pPr>
        <w:ind w:left="960"/>
        <w:spacing w:after="0"/>
        <w:rPr>
          <w:sz w:val="20"/>
          <w:szCs w:val="20"/>
          <w:color w:val="auto"/>
        </w:rPr>
      </w:pPr>
      <w:r>
        <w:rPr>
          <w:rFonts w:ascii="Times New Roman" w:cs="Times New Roman" w:eastAsia="Times New Roman" w:hAnsi="Times New Roman"/>
          <w:sz w:val="18"/>
          <w:szCs w:val="18"/>
          <w:color w:val="auto"/>
        </w:rPr>
        <w:t xml:space="preserve">74,287,260 </w:t>
      </w:r>
      <w:r>
        <w:rPr>
          <w:rFonts w:ascii="Times New Roman" w:cs="Times New Roman" w:eastAsia="Times New Roman" w:hAnsi="Times New Roman"/>
          <w:sz w:val="14"/>
          <w:szCs w:val="14"/>
          <w:color w:val="auto"/>
        </w:rPr>
        <w:t>(1)(2)</w:t>
      </w:r>
    </w:p>
    <w:p>
      <w:pPr>
        <w:spacing w:after="0" w:line="70" w:lineRule="exact"/>
        <w:rPr>
          <w:sz w:val="20"/>
          <w:szCs w:val="20"/>
          <w:color w:val="auto"/>
        </w:rPr>
      </w:pPr>
    </w:p>
    <w:p>
      <w:pPr>
        <w:ind w:left="960"/>
        <w:spacing w:after="0"/>
        <w:tabs>
          <w:tab w:leader="none" w:pos="11060" w:val="left"/>
        </w:tabs>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6"/>
          <w:szCs w:val="16"/>
          <w:color w:val="auto"/>
        </w:rPr>
        <w:t>□</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10</w:t>
      </w: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ind w:left="360"/>
        <w:spacing w:after="0" w:line="232" w:lineRule="auto"/>
        <w:rPr>
          <w:sz w:val="20"/>
          <w:szCs w:val="20"/>
          <w:color w:val="auto"/>
        </w:rPr>
      </w:pPr>
      <w:r>
        <w:rPr>
          <w:rFonts w:ascii="Times New Roman" w:cs="Times New Roman" w:eastAsia="Times New Roman" w:hAnsi="Times New Roman"/>
          <w:sz w:val="22"/>
          <w:szCs w:val="22"/>
          <w:color w:val="auto"/>
        </w:rPr>
        <w:t>11</w:t>
      </w:r>
    </w:p>
    <w:p>
      <w:pPr>
        <w:ind w:left="96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4"/>
          <w:szCs w:val="14"/>
          <w:color w:val="auto"/>
        </w:rPr>
        <w:t>(3)</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ind w:left="360"/>
        <w:spacing w:after="0" w:line="232" w:lineRule="auto"/>
        <w:rPr>
          <w:sz w:val="20"/>
          <w:szCs w:val="20"/>
          <w:color w:val="auto"/>
        </w:rPr>
      </w:pPr>
      <w:r>
        <w:rPr>
          <w:rFonts w:ascii="Times New Roman" w:cs="Times New Roman" w:eastAsia="Times New Roman" w:hAnsi="Times New Roman"/>
          <w:sz w:val="22"/>
          <w:szCs w:val="22"/>
          <w:color w:val="auto"/>
        </w:rPr>
        <w:t>12</w:t>
      </w:r>
    </w:p>
    <w:p>
      <w:pPr>
        <w:ind w:left="96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80" w:firstLine="8"/>
        <w:spacing w:after="0" w:line="222" w:lineRule="auto"/>
        <w:tabs>
          <w:tab w:leader="none" w:pos="260"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These 22,184,716 Class A ordinary shares, par value US$0.00005 per share (the “Ordinary Shares”) of GDS (the “Issuer”) are represented by (1) 2,689,695 American Depositary Shares (“ADSs”), each ADS representing eight (8) Ordinary Shares, and (2) 667,156 Ordinary Shares.</w:t>
      </w:r>
    </w:p>
    <w:p>
      <w:pPr>
        <w:spacing w:after="0" w:line="152" w:lineRule="exact"/>
        <w:rPr>
          <w:rFonts w:ascii="Times New Roman" w:cs="Times New Roman" w:eastAsia="Times New Roman" w:hAnsi="Times New Roman"/>
          <w:sz w:val="32"/>
          <w:szCs w:val="32"/>
          <w:color w:val="auto"/>
          <w:vertAlign w:val="superscript"/>
        </w:rPr>
      </w:pPr>
    </w:p>
    <w:p>
      <w:pPr>
        <w:ind w:right="180" w:firstLine="8"/>
        <w:spacing w:after="0" w:line="222" w:lineRule="auto"/>
        <w:tabs>
          <w:tab w:leader="none" w:pos="264"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These 52,102,544 Ordinary Shares of the Issuer are represented by (1) 51,200,000 Ordinary Shares that the Reporting Person has the right to acquire upon conversion of the Issuer’s 0.25% Convertible Senior Notes due 2029 (“Senior Notes”) and (2) 112,818 ADSs, each ADS representing eight (8) Ordinary Shares.</w:t>
      </w:r>
    </w:p>
    <w:p>
      <w:pPr>
        <w:spacing w:after="0" w:line="152" w:lineRule="exact"/>
        <w:rPr>
          <w:rFonts w:ascii="Times New Roman" w:cs="Times New Roman" w:eastAsia="Times New Roman" w:hAnsi="Times New Roman"/>
          <w:sz w:val="32"/>
          <w:szCs w:val="32"/>
          <w:color w:val="auto"/>
          <w:vertAlign w:val="superscript"/>
        </w:rPr>
      </w:pPr>
    </w:p>
    <w:p>
      <w:pPr>
        <w:ind w:right="60" w:firstLine="8"/>
        <w:spacing w:after="0" w:line="210" w:lineRule="auto"/>
        <w:tabs>
          <w:tab w:leader="none" w:pos="264"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Based on 1,427,590,059 Ordinary Shares outstanding as of December 31, 2021, according to the Form 20-F filed by the Issuer with the Securities and Exchange Commission on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Name of Issuer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GDS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Address of Issuer’s Principal Executive Offices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F4/F5, Building C, Sunland International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999 Zhouhai Road</w:t>
      </w:r>
    </w:p>
    <w:p>
      <w:pPr>
        <w:spacing w:after="0" w:line="230" w:lineRule="auto"/>
        <w:rPr>
          <w:sz w:val="20"/>
          <w:szCs w:val="20"/>
          <w:color w:val="auto"/>
        </w:rPr>
      </w:pPr>
      <w:r>
        <w:rPr>
          <w:rFonts w:ascii="Times New Roman" w:cs="Times New Roman" w:eastAsia="Times New Roman" w:hAnsi="Times New Roman"/>
          <w:sz w:val="22"/>
          <w:szCs w:val="22"/>
          <w:color w:val="auto"/>
        </w:rPr>
        <w:t>Pudong, Shanghai 200137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People’s Republic of China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2(a) Name of Persons Filing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2(b) Address of Principal Business Office or, if none, Residence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 Robinson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#37-01 Capital Tower</w:t>
      </w:r>
    </w:p>
    <w:p>
      <w:pPr>
        <w:spacing w:after="0"/>
        <w:rPr>
          <w:sz w:val="20"/>
          <w:szCs w:val="20"/>
          <w:color w:val="auto"/>
        </w:rPr>
      </w:pPr>
      <w:r>
        <w:rPr>
          <w:rFonts w:ascii="Times New Roman" w:cs="Times New Roman" w:eastAsia="Times New Roman" w:hAnsi="Times New Roman"/>
          <w:sz w:val="22"/>
          <w:szCs w:val="22"/>
          <w:color w:val="auto"/>
        </w:rPr>
        <w:t>Singapore 068912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2(c) Citizenship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2(d) Title of Class of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$0.00005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2(e) CUSIP Number</w:t>
      </w:r>
    </w:p>
    <w:p>
      <w:pPr>
        <w:spacing w:after="0" w:line="23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36165L108 (There is no CUSIP number assigned to the Ordinary Shares. CUSIP number 36165L108 has been assigned to the ADSs of the Issuer, each ADS representing eight (8) Ordinary Shares, which are quoted on the Nasdaq Global Market under the symbol “GDS”.)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13d-2(b) or (c), check whether the person filing is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Ownership information with respect to GIC Private Limited (“GIC PL”) is incorporated by reference from items (5) through (9) and (11) of the cover page, and the associated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Reco Millenium Pte Ltd. (“Reco”) shares the power to vote and the power to dispose of 24,000,000 Ordinary Shares that Reco has the right to acquire upon conversion of US$150,000,000 principal amount of Senior Notes (which have an initial conversion rate of 160 Ordinary Shares per US$1,000 principal amount) held directly by it with GIC (Realty) Private Limited (“GIC RE”) and GIC PL. GIC RE is wholly owned by GIC PL and is the real estate investment arm of GIC PL.</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Ceningan Investment Pte. Ltd. (“Ceningan”) shares the power to vote and the power to dispose of 27,200,000 Ordinary Shares that Ceningan has the right to acquire upon conversion of US$170,000,000 principal amount Senior Notes (which have an initial conversion rate of 160 Ordinary Shares per US$1,000 principal amount) held directly by it with GIC Special Investments Private Limited (“GIC SI”) and GIC PL. GIC SI is wholly owned by GIC PL and is the private equity investment arm of GIC PL.</w:t>
      </w:r>
    </w:p>
    <w:p>
      <w:pPr>
        <w:spacing w:after="0" w:line="18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GIC PL is a fund manager and only has 2 clients – the Government of Singapore (“GoS”) and the Monetary Authority of Singapore ("MAS"). Under the investment management agreement with GoS, GIC PL has been given the sole discretion to exercise the voting rights attached to, and the disposition of, any shares managed on behalf of GoS. As such, GIC PL has the sole power to vote and power to dispose of the 2,689,695 American depositary shares, and 667,156 Ordinary Shares, beneficially owned by it. GIC PL shares power to vote and dispose of 112,818 ADSs beneficially owned by it with MAS.</w:t>
      </w:r>
    </w:p>
    <w:p>
      <w:pPr>
        <w:spacing w:after="0" w:line="20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GIC PL is wholly owned by the GoS and was set up with the sole purpose of managing Singapore’s foreign reserves. The GoS disclaims beneficial ownership of these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Certifications</w:t>
      </w:r>
    </w:p>
    <w:p>
      <w:pPr>
        <w:spacing w:after="0" w:line="23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5 of 5 Pages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 as of the date below.</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GIC PRIVATE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Celine Loh Sze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Celine Loh Sze Ling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  May 26, 2022</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Diane Liang Weishan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Diane Liang Weishan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  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2022-05-26T15:48:34Z</dcterms:created>
  <dcterms:modified xsi:type="dcterms:W3CDTF">2022-05-26T15:48:34Z</dcterms:modified>
</cp:coreProperties>
</file>